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XSpec="center" w:tblpY="2881"/>
        <w:tblW w:w="4476" w:type="pct"/>
        <w:tblBorders>
          <w:left w:val="single" w:sz="18" w:space="0" w:color="4F81BD"/>
        </w:tblBorders>
        <w:tblLook w:val="00A0" w:firstRow="1" w:lastRow="0" w:firstColumn="1" w:lastColumn="0" w:noHBand="0" w:noVBand="0"/>
      </w:tblPr>
      <w:tblGrid>
        <w:gridCol w:w="8358"/>
      </w:tblGrid>
      <w:tr w:rsidR="0087614E" w:rsidRPr="0024452E" w14:paraId="7B7ED168" w14:textId="77777777" w:rsidTr="00F77E95">
        <w:tc>
          <w:tcPr>
            <w:tcW w:w="8585" w:type="dxa"/>
            <w:tcMar>
              <w:top w:w="216" w:type="dxa"/>
              <w:left w:w="115" w:type="dxa"/>
              <w:bottom w:w="216" w:type="dxa"/>
              <w:right w:w="115" w:type="dxa"/>
            </w:tcMar>
          </w:tcPr>
          <w:p w14:paraId="6781D96B" w14:textId="77777777" w:rsidR="0087614E" w:rsidRPr="0024452E" w:rsidRDefault="0087614E" w:rsidP="0048449D">
            <w:pPr>
              <w:pStyle w:val="NoSpacing"/>
              <w:rPr>
                <w:rFonts w:asciiTheme="minorHAnsi" w:hAnsiTheme="minorHAnsi"/>
              </w:rPr>
            </w:pPr>
            <w:bookmarkStart w:id="0" w:name="_GoBack"/>
            <w:bookmarkEnd w:id="0"/>
          </w:p>
        </w:tc>
      </w:tr>
      <w:tr w:rsidR="0087614E" w:rsidRPr="0024452E" w14:paraId="39160958" w14:textId="77777777" w:rsidTr="00F77E95">
        <w:tc>
          <w:tcPr>
            <w:tcW w:w="8585" w:type="dxa"/>
          </w:tcPr>
          <w:p w14:paraId="4B34866E" w14:textId="77777777" w:rsidR="0087614E" w:rsidRPr="00DB682C" w:rsidRDefault="0087614E" w:rsidP="00307547">
            <w:pPr>
              <w:pStyle w:val="NoSpacing"/>
              <w:rPr>
                <w:rFonts w:asciiTheme="minorHAnsi" w:hAnsiTheme="minorHAnsi"/>
                <w:color w:val="4F81BD"/>
                <w:sz w:val="56"/>
                <w:szCs w:val="56"/>
              </w:rPr>
            </w:pPr>
            <w:r w:rsidRPr="00DB682C">
              <w:rPr>
                <w:rFonts w:asciiTheme="minorHAnsi" w:hAnsiTheme="minorHAnsi"/>
                <w:color w:val="26547C"/>
                <w:sz w:val="56"/>
                <w:szCs w:val="56"/>
              </w:rPr>
              <w:t>m</w:t>
            </w:r>
            <w:r w:rsidR="00307547" w:rsidRPr="00DB682C">
              <w:rPr>
                <w:rFonts w:asciiTheme="minorHAnsi" w:hAnsiTheme="minorHAnsi"/>
                <w:color w:val="26547C"/>
                <w:sz w:val="56"/>
                <w:szCs w:val="56"/>
              </w:rPr>
              <w:t>View</w:t>
            </w:r>
            <w:r w:rsidRPr="00DB682C">
              <w:rPr>
                <w:rFonts w:asciiTheme="minorHAnsi" w:hAnsiTheme="minorHAnsi"/>
                <w:color w:val="26547C"/>
                <w:sz w:val="56"/>
                <w:szCs w:val="56"/>
                <w:vertAlign w:val="superscript"/>
              </w:rPr>
              <w:t>TM</w:t>
            </w:r>
            <w:r w:rsidRPr="00DB682C">
              <w:rPr>
                <w:rFonts w:asciiTheme="minorHAnsi" w:hAnsiTheme="minorHAnsi"/>
                <w:color w:val="26547C"/>
                <w:sz w:val="56"/>
                <w:szCs w:val="56"/>
              </w:rPr>
              <w:t xml:space="preserve"> </w:t>
            </w:r>
            <w:r w:rsidR="00B02AAA" w:rsidRPr="00B02AAA">
              <w:rPr>
                <w:rFonts w:asciiTheme="minorHAnsi" w:hAnsiTheme="minorHAnsi"/>
                <w:b/>
                <w:color w:val="26547C"/>
                <w:sz w:val="56"/>
                <w:szCs w:val="56"/>
              </w:rPr>
              <w:t xml:space="preserve">FINAL </w:t>
            </w:r>
            <w:r w:rsidRPr="00DB682C">
              <w:rPr>
                <w:rFonts w:asciiTheme="minorHAnsi" w:hAnsiTheme="minorHAnsi"/>
                <w:b/>
                <w:color w:val="26547C"/>
                <w:sz w:val="56"/>
                <w:szCs w:val="56"/>
              </w:rPr>
              <w:t>REPORT</w:t>
            </w:r>
          </w:p>
        </w:tc>
      </w:tr>
      <w:tr w:rsidR="0087614E" w:rsidRPr="0024452E" w14:paraId="716D5CDD" w14:textId="77777777" w:rsidTr="00F77E95">
        <w:trPr>
          <w:trHeight w:val="20"/>
        </w:trPr>
        <w:tc>
          <w:tcPr>
            <w:tcW w:w="8585" w:type="dxa"/>
            <w:tcMar>
              <w:top w:w="216" w:type="dxa"/>
              <w:left w:w="115" w:type="dxa"/>
              <w:bottom w:w="216" w:type="dxa"/>
              <w:right w:w="115" w:type="dxa"/>
            </w:tcMar>
          </w:tcPr>
          <w:p w14:paraId="1D715794" w14:textId="77777777" w:rsidR="00B3568F" w:rsidRPr="00B72156" w:rsidRDefault="00DC48A7" w:rsidP="00B3568F">
            <w:pPr>
              <w:pStyle w:val="NoSpacing"/>
              <w:rPr>
                <w:rFonts w:asciiTheme="minorHAnsi" w:hAnsiTheme="minorHAnsi" w:cs="Verdana"/>
                <w:b/>
                <w:bCs/>
                <w:sz w:val="32"/>
                <w:szCs w:val="32"/>
              </w:rPr>
            </w:pPr>
            <w:r w:rsidRPr="00DC48A7">
              <w:rPr>
                <w:rFonts w:asciiTheme="minorHAnsi" w:hAnsiTheme="minorHAnsi" w:cs="Verdana"/>
                <w:b/>
                <w:bCs/>
                <w:sz w:val="32"/>
                <w:szCs w:val="32"/>
              </w:rPr>
              <w:t>Microbial depletion and ozone exposure</w:t>
            </w:r>
            <w:r w:rsidR="00FA78D0">
              <w:rPr>
                <w:rFonts w:asciiTheme="minorHAnsi" w:hAnsiTheme="minorHAnsi" w:cs="Verdana"/>
                <w:b/>
                <w:bCs/>
                <w:sz w:val="32"/>
                <w:szCs w:val="32"/>
              </w:rPr>
              <w:t>;</w:t>
            </w:r>
            <w:r w:rsidRPr="00DC48A7">
              <w:rPr>
                <w:rFonts w:asciiTheme="minorHAnsi" w:hAnsiTheme="minorHAnsi" w:cs="Verdana"/>
                <w:b/>
                <w:bCs/>
                <w:sz w:val="32"/>
                <w:szCs w:val="32"/>
              </w:rPr>
              <w:t xml:space="preserve"> </w:t>
            </w:r>
            <w:r w:rsidR="00FA78D0">
              <w:rPr>
                <w:rFonts w:asciiTheme="minorHAnsi" w:hAnsiTheme="minorHAnsi" w:cs="Verdana"/>
                <w:b/>
                <w:bCs/>
                <w:sz w:val="32"/>
                <w:szCs w:val="32"/>
              </w:rPr>
              <w:br/>
              <w:t>murine lung tissue and serum</w:t>
            </w:r>
            <w:r w:rsidR="0051166C">
              <w:rPr>
                <w:rFonts w:asciiTheme="minorHAnsi" w:hAnsiTheme="minorHAnsi" w:cs="Verdana"/>
                <w:b/>
                <w:bCs/>
                <w:sz w:val="32"/>
                <w:szCs w:val="32"/>
              </w:rPr>
              <w:t xml:space="preserve">   </w:t>
            </w:r>
          </w:p>
          <w:p w14:paraId="20397DBE" w14:textId="77777777" w:rsidR="004D3BB3" w:rsidRPr="0024452E" w:rsidRDefault="004D3BB3" w:rsidP="00B3568F">
            <w:pPr>
              <w:pStyle w:val="NoSpacing"/>
              <w:rPr>
                <w:rFonts w:asciiTheme="minorHAnsi" w:hAnsiTheme="minorHAnsi" w:cs="Verdana"/>
                <w:b/>
                <w:bCs/>
                <w:sz w:val="28"/>
                <w:szCs w:val="28"/>
              </w:rPr>
            </w:pPr>
          </w:p>
          <w:p w14:paraId="5899A59C" w14:textId="77777777" w:rsidR="0087614E" w:rsidRPr="0024452E" w:rsidRDefault="00DC48A7" w:rsidP="00B3568F">
            <w:pPr>
              <w:pStyle w:val="NoSpacing"/>
              <w:rPr>
                <w:rFonts w:asciiTheme="minorHAnsi" w:hAnsiTheme="minorHAnsi"/>
                <w:b/>
                <w:bCs/>
                <w:sz w:val="28"/>
                <w:szCs w:val="28"/>
              </w:rPr>
            </w:pPr>
            <w:r>
              <w:rPr>
                <w:rFonts w:asciiTheme="minorHAnsi" w:hAnsiTheme="minorHAnsi" w:cs="Verdana"/>
                <w:b/>
                <w:bCs/>
                <w:sz w:val="28"/>
                <w:szCs w:val="28"/>
              </w:rPr>
              <w:t>HARV-04</w:t>
            </w:r>
            <w:r w:rsidR="00742F55">
              <w:rPr>
                <w:rFonts w:asciiTheme="minorHAnsi" w:hAnsiTheme="minorHAnsi" w:cs="Verdana"/>
                <w:b/>
                <w:bCs/>
                <w:sz w:val="28"/>
                <w:szCs w:val="28"/>
              </w:rPr>
              <w:t>-</w:t>
            </w:r>
            <w:r w:rsidR="0051166C">
              <w:rPr>
                <w:rFonts w:asciiTheme="minorHAnsi" w:hAnsiTheme="minorHAnsi" w:cs="Verdana"/>
                <w:b/>
                <w:bCs/>
                <w:sz w:val="28"/>
                <w:szCs w:val="28"/>
              </w:rPr>
              <w:t>14</w:t>
            </w:r>
            <w:r w:rsidR="00742F55">
              <w:rPr>
                <w:rFonts w:asciiTheme="minorHAnsi" w:hAnsiTheme="minorHAnsi" w:cs="Verdana"/>
                <w:b/>
                <w:bCs/>
                <w:sz w:val="28"/>
                <w:szCs w:val="28"/>
              </w:rPr>
              <w:t>VW</w:t>
            </w:r>
            <w:r w:rsidR="0051166C">
              <w:rPr>
                <w:rFonts w:asciiTheme="minorHAnsi" w:hAnsiTheme="minorHAnsi" w:cs="Verdana"/>
                <w:b/>
                <w:bCs/>
                <w:sz w:val="28"/>
                <w:szCs w:val="28"/>
              </w:rPr>
              <w:t xml:space="preserve">   </w:t>
            </w:r>
          </w:p>
          <w:p w14:paraId="1973255F" w14:textId="77777777" w:rsidR="0087614E" w:rsidRPr="0024452E" w:rsidRDefault="0087614E" w:rsidP="00A04CE7">
            <w:pPr>
              <w:pStyle w:val="NoSpacing"/>
              <w:rPr>
                <w:rFonts w:asciiTheme="minorHAnsi" w:hAnsiTheme="minorHAnsi"/>
              </w:rPr>
            </w:pPr>
          </w:p>
        </w:tc>
      </w:tr>
      <w:tr w:rsidR="0087614E" w:rsidRPr="0024452E" w14:paraId="32EB9FD4" w14:textId="77777777" w:rsidTr="00F77E95">
        <w:trPr>
          <w:trHeight w:val="20"/>
        </w:trPr>
        <w:tc>
          <w:tcPr>
            <w:tcW w:w="8585" w:type="dxa"/>
            <w:tcMar>
              <w:top w:w="216" w:type="dxa"/>
              <w:left w:w="115" w:type="dxa"/>
              <w:bottom w:w="216" w:type="dxa"/>
              <w:right w:w="115" w:type="dxa"/>
            </w:tcMar>
          </w:tcPr>
          <w:p w14:paraId="0B9082B3" w14:textId="77777777" w:rsidR="00CC7429" w:rsidRPr="00BF03D7" w:rsidRDefault="0087614E" w:rsidP="00CC7429">
            <w:pPr>
              <w:pStyle w:val="NoSpacing"/>
              <w:ind w:left="1296" w:hanging="1296"/>
              <w:rPr>
                <w:rFonts w:asciiTheme="minorHAnsi" w:hAnsiTheme="minorHAnsi" w:cs="Verdana"/>
                <w:spacing w:val="26"/>
                <w:lang w:val="fr-FR"/>
              </w:rPr>
            </w:pPr>
            <w:r w:rsidRPr="0024452E">
              <w:rPr>
                <w:rFonts w:asciiTheme="minorHAnsi" w:hAnsiTheme="minorHAnsi"/>
                <w:bCs/>
                <w:szCs w:val="24"/>
              </w:rPr>
              <w:t xml:space="preserve">CLIENT: </w:t>
            </w:r>
            <w:r w:rsidR="00FB4724" w:rsidRPr="00B72156">
              <w:rPr>
                <w:rFonts w:asciiTheme="minorHAnsi" w:hAnsiTheme="minorHAnsi"/>
                <w:bCs/>
                <w:szCs w:val="24"/>
              </w:rPr>
              <w:tab/>
            </w:r>
            <w:r w:rsidR="00E0366E" w:rsidRPr="00B72156">
              <w:rPr>
                <w:rFonts w:asciiTheme="minorHAnsi" w:hAnsiTheme="minorHAnsi"/>
                <w:bCs/>
                <w:szCs w:val="24"/>
              </w:rPr>
              <w:tab/>
            </w:r>
            <w:r w:rsidR="00FA78D0" w:rsidRPr="00FA78D0">
              <w:rPr>
                <w:rFonts w:asciiTheme="minorHAnsi" w:hAnsiTheme="minorHAnsi"/>
                <w:bCs/>
                <w:spacing w:val="26"/>
                <w:szCs w:val="24"/>
              </w:rPr>
              <w:t xml:space="preserve">Harvard School of Public Health </w:t>
            </w:r>
            <w:r w:rsidR="0051166C">
              <w:rPr>
                <w:rFonts w:asciiTheme="minorHAnsi" w:hAnsiTheme="minorHAnsi"/>
                <w:bCs/>
                <w:spacing w:val="26"/>
                <w:szCs w:val="24"/>
              </w:rPr>
              <w:t xml:space="preserve"> </w:t>
            </w:r>
          </w:p>
          <w:p w14:paraId="41F2BC9B" w14:textId="77777777" w:rsidR="00CC7429" w:rsidRPr="00BF03D7" w:rsidRDefault="00F77E95" w:rsidP="00CC7429">
            <w:pPr>
              <w:pStyle w:val="NoSpacing"/>
              <w:spacing w:after="240"/>
              <w:ind w:left="1296" w:hanging="1296"/>
              <w:rPr>
                <w:rFonts w:asciiTheme="minorHAnsi" w:hAnsiTheme="minorHAnsi" w:cs="Verdana"/>
                <w:spacing w:val="26"/>
                <w:lang w:val="fr-FR"/>
              </w:rPr>
            </w:pPr>
            <w:r w:rsidRPr="00E42496">
              <w:rPr>
                <w:rFonts w:asciiTheme="minorHAnsi" w:hAnsiTheme="minorHAnsi"/>
                <w:bCs/>
                <w:color w:val="FFFFFF" w:themeColor="background1"/>
                <w:sz w:val="2"/>
                <w:szCs w:val="2"/>
              </w:rPr>
              <w:t xml:space="preserve">CLIENT: </w:t>
            </w:r>
            <w:r w:rsidRPr="00F77E95">
              <w:rPr>
                <w:rFonts w:asciiTheme="minorHAnsi" w:hAnsiTheme="minorHAnsi"/>
                <w:bCs/>
                <w:color w:val="FFFFFF" w:themeColor="background1"/>
                <w:szCs w:val="24"/>
              </w:rPr>
              <w:tab/>
            </w:r>
            <w:r w:rsidR="00CC7429" w:rsidRPr="00BF03D7">
              <w:rPr>
                <w:rFonts w:asciiTheme="minorHAnsi" w:hAnsiTheme="minorHAnsi"/>
                <w:bCs/>
                <w:szCs w:val="24"/>
              </w:rPr>
              <w:tab/>
            </w:r>
            <w:r w:rsidR="00FA78D0" w:rsidRPr="00FA78D0">
              <w:rPr>
                <w:rFonts w:asciiTheme="minorHAnsi" w:hAnsiTheme="minorHAnsi" w:cs="Verdana"/>
                <w:spacing w:val="26"/>
                <w:lang w:val="fr-FR"/>
              </w:rPr>
              <w:t xml:space="preserve">Helen Youngji Cho </w:t>
            </w:r>
            <w:r w:rsidR="0051166C">
              <w:rPr>
                <w:rFonts w:asciiTheme="minorHAnsi" w:hAnsiTheme="minorHAnsi" w:cs="Verdana"/>
                <w:spacing w:val="26"/>
                <w:lang w:val="fr-FR"/>
              </w:rPr>
              <w:t xml:space="preserve"> </w:t>
            </w:r>
          </w:p>
          <w:p w14:paraId="183A6D43" w14:textId="77777777" w:rsidR="0087614E" w:rsidRPr="00BF03D7" w:rsidRDefault="0087614E" w:rsidP="00B72156">
            <w:pPr>
              <w:pStyle w:val="NoSpacing"/>
              <w:spacing w:before="360" w:after="60"/>
              <w:rPr>
                <w:rFonts w:asciiTheme="minorHAnsi" w:hAnsiTheme="minorHAnsi"/>
                <w:spacing w:val="26"/>
                <w:szCs w:val="24"/>
              </w:rPr>
            </w:pPr>
            <w:r w:rsidRPr="0024452E">
              <w:rPr>
                <w:rFonts w:asciiTheme="minorHAnsi" w:hAnsiTheme="minorHAnsi"/>
                <w:bCs/>
                <w:szCs w:val="24"/>
              </w:rPr>
              <w:t>AUTHOR:</w:t>
            </w:r>
            <w:r w:rsidR="000F21E9" w:rsidRPr="0024452E">
              <w:rPr>
                <w:rFonts w:asciiTheme="minorHAnsi" w:hAnsiTheme="minorHAnsi"/>
                <w:bCs/>
                <w:szCs w:val="24"/>
              </w:rPr>
              <w:tab/>
            </w:r>
            <w:r w:rsidR="00DC48A7">
              <w:rPr>
                <w:rFonts w:asciiTheme="minorHAnsi" w:hAnsiTheme="minorHAnsi"/>
                <w:spacing w:val="26"/>
                <w:szCs w:val="24"/>
              </w:rPr>
              <w:t>Nicki Bell</w:t>
            </w:r>
            <w:r w:rsidR="00B64EF0" w:rsidRPr="00BF03D7">
              <w:rPr>
                <w:rFonts w:asciiTheme="minorHAnsi" w:hAnsiTheme="minorHAnsi"/>
                <w:spacing w:val="26"/>
                <w:szCs w:val="24"/>
              </w:rPr>
              <w:t>, Ph</w:t>
            </w:r>
            <w:r w:rsidR="00FB4724" w:rsidRPr="00BF03D7">
              <w:rPr>
                <w:rFonts w:asciiTheme="minorHAnsi" w:hAnsiTheme="minorHAnsi"/>
                <w:spacing w:val="26"/>
                <w:szCs w:val="24"/>
              </w:rPr>
              <w:t>D</w:t>
            </w:r>
          </w:p>
          <w:p w14:paraId="147E6CD9" w14:textId="77777777" w:rsidR="004D7D79" w:rsidRPr="00BF03D7" w:rsidRDefault="004D7D79" w:rsidP="009107E8">
            <w:pPr>
              <w:pStyle w:val="NoSpacing"/>
              <w:spacing w:after="60"/>
              <w:ind w:left="1440" w:hanging="1440"/>
              <w:rPr>
                <w:rFonts w:asciiTheme="minorHAnsi" w:hAnsiTheme="minorHAnsi" w:cs="Verdana"/>
                <w:spacing w:val="26"/>
                <w:lang w:val="fr-FR"/>
              </w:rPr>
            </w:pPr>
            <w:r w:rsidRPr="0024452E">
              <w:rPr>
                <w:rFonts w:asciiTheme="minorHAnsi" w:hAnsiTheme="minorHAnsi"/>
                <w:bCs/>
                <w:szCs w:val="24"/>
              </w:rPr>
              <w:t>APPROVAL:</w:t>
            </w:r>
            <w:r w:rsidRPr="0024452E">
              <w:rPr>
                <w:rFonts w:asciiTheme="minorHAnsi" w:hAnsiTheme="minorHAnsi"/>
                <w:bCs/>
                <w:szCs w:val="24"/>
              </w:rPr>
              <w:tab/>
            </w:r>
            <w:r w:rsidR="00FC710A">
              <w:rPr>
                <w:rFonts w:asciiTheme="minorHAnsi" w:hAnsiTheme="minorHAnsi" w:cs="Verdana"/>
                <w:spacing w:val="26"/>
                <w:lang w:val="fr-FR"/>
              </w:rPr>
              <w:t>Edward D</w:t>
            </w:r>
            <w:r w:rsidR="00E20009">
              <w:rPr>
                <w:rFonts w:asciiTheme="minorHAnsi" w:hAnsiTheme="minorHAnsi" w:cs="Verdana"/>
                <w:spacing w:val="26"/>
                <w:lang w:val="fr-FR"/>
              </w:rPr>
              <w:t>.</w:t>
            </w:r>
            <w:r w:rsidR="00FC710A">
              <w:rPr>
                <w:rFonts w:asciiTheme="minorHAnsi" w:hAnsiTheme="minorHAnsi" w:cs="Verdana"/>
                <w:spacing w:val="26"/>
                <w:lang w:val="fr-FR"/>
              </w:rPr>
              <w:t xml:space="preserve"> Karoly</w:t>
            </w:r>
            <w:r w:rsidRPr="00BF03D7">
              <w:rPr>
                <w:rFonts w:asciiTheme="minorHAnsi" w:hAnsiTheme="minorHAnsi" w:cs="Verdana"/>
                <w:spacing w:val="26"/>
                <w:lang w:val="fr-FR"/>
              </w:rPr>
              <w:t>, PhD</w:t>
            </w:r>
          </w:p>
          <w:p w14:paraId="51227B93" w14:textId="4FE9D88E" w:rsidR="0087614E" w:rsidRPr="0024452E" w:rsidRDefault="0087614E" w:rsidP="00FC2579">
            <w:pPr>
              <w:pStyle w:val="NoSpacing"/>
              <w:rPr>
                <w:rFonts w:asciiTheme="minorHAnsi" w:hAnsiTheme="minorHAnsi"/>
                <w:b/>
                <w:bCs/>
                <w:sz w:val="28"/>
                <w:szCs w:val="28"/>
              </w:rPr>
            </w:pPr>
            <w:r w:rsidRPr="0024452E">
              <w:rPr>
                <w:rFonts w:asciiTheme="minorHAnsi" w:hAnsiTheme="minorHAnsi"/>
                <w:smallCaps/>
                <w:spacing w:val="26"/>
                <w:szCs w:val="24"/>
              </w:rPr>
              <w:t xml:space="preserve">DATE: </w:t>
            </w:r>
            <w:r w:rsidR="00FF7F15" w:rsidRPr="00B72156">
              <w:rPr>
                <w:rFonts w:asciiTheme="minorHAnsi" w:hAnsiTheme="minorHAnsi"/>
                <w:spacing w:val="26"/>
                <w:szCs w:val="24"/>
              </w:rPr>
              <w:tab/>
            </w:r>
            <w:r w:rsidR="00DC48A7" w:rsidRPr="00FC2579">
              <w:rPr>
                <w:rFonts w:asciiTheme="minorHAnsi" w:hAnsiTheme="minorHAnsi"/>
                <w:spacing w:val="26"/>
                <w:szCs w:val="24"/>
              </w:rPr>
              <w:t>March</w:t>
            </w:r>
            <w:r w:rsidR="00A840CE" w:rsidRPr="00FC2579">
              <w:rPr>
                <w:rFonts w:asciiTheme="minorHAnsi" w:hAnsiTheme="minorHAnsi"/>
                <w:spacing w:val="26"/>
                <w:szCs w:val="24"/>
              </w:rPr>
              <w:t xml:space="preserve"> </w:t>
            </w:r>
            <w:r w:rsidR="00FC2579">
              <w:rPr>
                <w:rFonts w:asciiTheme="minorHAnsi" w:hAnsiTheme="minorHAnsi"/>
                <w:spacing w:val="26"/>
                <w:szCs w:val="24"/>
              </w:rPr>
              <w:t>24</w:t>
            </w:r>
            <w:r w:rsidR="00FF7F15" w:rsidRPr="00223A57">
              <w:rPr>
                <w:rFonts w:asciiTheme="minorHAnsi" w:hAnsiTheme="minorHAnsi"/>
                <w:spacing w:val="26"/>
                <w:szCs w:val="24"/>
              </w:rPr>
              <w:t>, 201</w:t>
            </w:r>
            <w:r w:rsidR="00266503">
              <w:rPr>
                <w:rFonts w:asciiTheme="minorHAnsi" w:hAnsiTheme="minorHAnsi"/>
                <w:spacing w:val="26"/>
                <w:szCs w:val="24"/>
              </w:rPr>
              <w:t>5</w:t>
            </w:r>
          </w:p>
        </w:tc>
      </w:tr>
      <w:tr w:rsidR="00FB66D3" w:rsidRPr="0024452E" w14:paraId="27BE9CD0" w14:textId="77777777" w:rsidTr="00F77E95">
        <w:tc>
          <w:tcPr>
            <w:tcW w:w="8585" w:type="dxa"/>
            <w:tcMar>
              <w:top w:w="216" w:type="dxa"/>
              <w:left w:w="115" w:type="dxa"/>
              <w:bottom w:w="216" w:type="dxa"/>
              <w:right w:w="115" w:type="dxa"/>
            </w:tcMar>
          </w:tcPr>
          <w:p w14:paraId="145F514C" w14:textId="77777777" w:rsidR="00FB66D3" w:rsidRPr="0024452E" w:rsidRDefault="00FB66D3">
            <w:pPr>
              <w:pStyle w:val="NoSpacing"/>
              <w:rPr>
                <w:rFonts w:asciiTheme="minorHAnsi" w:hAnsiTheme="minorHAnsi"/>
                <w:bCs/>
                <w:szCs w:val="24"/>
              </w:rPr>
            </w:pPr>
          </w:p>
        </w:tc>
      </w:tr>
    </w:tbl>
    <w:p w14:paraId="5692A6FC" w14:textId="77777777" w:rsidR="0087614E" w:rsidRPr="0024452E" w:rsidRDefault="009E112D">
      <w:pPr>
        <w:rPr>
          <w:rFonts w:asciiTheme="minorHAnsi" w:hAnsiTheme="minorHAnsi"/>
        </w:rPr>
      </w:pPr>
      <w:r w:rsidRPr="0024452E">
        <w:rPr>
          <w:rFonts w:asciiTheme="minorHAnsi" w:hAnsiTheme="minorHAnsi"/>
          <w:noProof/>
        </w:rPr>
        <w:drawing>
          <wp:anchor distT="12192" distB="22352" distL="114300" distR="125222" simplePos="0" relativeHeight="251654656" behindDoc="1" locked="0" layoutInCell="1" allowOverlap="1" wp14:anchorId="1B75431A" wp14:editId="7C9BF23E">
            <wp:simplePos x="0" y="0"/>
            <wp:positionH relativeFrom="column">
              <wp:posOffset>-462915</wp:posOffset>
            </wp:positionH>
            <wp:positionV relativeFrom="paragraph">
              <wp:posOffset>-510540</wp:posOffset>
            </wp:positionV>
            <wp:extent cx="7120255" cy="7077075"/>
            <wp:effectExtent l="19050" t="0" r="4445" b="0"/>
            <wp:wrapNone/>
            <wp:docPr id="18" name="Picture 0" descr="Big logo.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ig logo.emf"/>
                    <pic:cNvPicPr>
                      <a:picLocks noChangeAspect="1" noChangeArrowheads="1"/>
                    </pic:cNvPicPr>
                  </pic:nvPicPr>
                  <pic:blipFill>
                    <a:blip r:embed="rId8">
                      <a:lum bright="10000" contrast="-6000"/>
                    </a:blip>
                    <a:srcRect/>
                    <a:stretch>
                      <a:fillRect/>
                    </a:stretch>
                  </pic:blipFill>
                  <pic:spPr bwMode="auto">
                    <a:xfrm>
                      <a:off x="0" y="0"/>
                      <a:ext cx="7120255" cy="7077075"/>
                    </a:xfrm>
                    <a:prstGeom prst="rect">
                      <a:avLst/>
                    </a:prstGeom>
                    <a:noFill/>
                    <a:ln w="9525">
                      <a:noFill/>
                      <a:miter lim="800000"/>
                      <a:headEnd/>
                      <a:tailEnd/>
                    </a:ln>
                  </pic:spPr>
                </pic:pic>
              </a:graphicData>
            </a:graphic>
          </wp:anchor>
        </w:drawing>
      </w:r>
    </w:p>
    <w:p w14:paraId="531D0011" w14:textId="77777777" w:rsidR="0087614E" w:rsidRPr="0024452E" w:rsidRDefault="0087614E">
      <w:pPr>
        <w:rPr>
          <w:rFonts w:asciiTheme="minorHAnsi" w:hAnsiTheme="minorHAnsi"/>
        </w:rPr>
      </w:pPr>
    </w:p>
    <w:p w14:paraId="1A9862F2" w14:textId="77777777" w:rsidR="0087614E" w:rsidRPr="0024452E" w:rsidRDefault="0087614E">
      <w:pPr>
        <w:rPr>
          <w:rFonts w:asciiTheme="minorHAnsi" w:hAnsiTheme="minorHAnsi"/>
          <w:lang w:val="fr-FR"/>
        </w:rPr>
      </w:pPr>
    </w:p>
    <w:p w14:paraId="63189E6D" w14:textId="77777777" w:rsidR="0087614E" w:rsidRPr="0024452E" w:rsidRDefault="0087614E">
      <w:pPr>
        <w:rPr>
          <w:rFonts w:asciiTheme="minorHAnsi" w:hAnsiTheme="minorHAnsi"/>
          <w:caps/>
          <w:lang w:val="fr-FR"/>
        </w:rPr>
      </w:pPr>
    </w:p>
    <w:p w14:paraId="4282A47F" w14:textId="77777777" w:rsidR="0087614E" w:rsidRPr="0024452E" w:rsidRDefault="0087614E">
      <w:pPr>
        <w:rPr>
          <w:rFonts w:asciiTheme="minorHAnsi" w:hAnsiTheme="minorHAnsi"/>
          <w:caps/>
          <w:lang w:val="fr-FR"/>
        </w:rPr>
      </w:pPr>
    </w:p>
    <w:p w14:paraId="28ED815E" w14:textId="77777777" w:rsidR="0087614E" w:rsidRPr="0024452E" w:rsidRDefault="0087614E">
      <w:pPr>
        <w:rPr>
          <w:rFonts w:asciiTheme="minorHAnsi" w:hAnsiTheme="minorHAnsi"/>
          <w:caps/>
          <w:lang w:val="fr-FR"/>
        </w:rPr>
      </w:pPr>
    </w:p>
    <w:p w14:paraId="3A88B5D6" w14:textId="77777777" w:rsidR="0087614E" w:rsidRPr="0024452E" w:rsidRDefault="0087614E">
      <w:pPr>
        <w:rPr>
          <w:rFonts w:asciiTheme="minorHAnsi" w:hAnsiTheme="minorHAnsi"/>
          <w:caps/>
          <w:lang w:val="fr-FR"/>
        </w:rPr>
      </w:pPr>
    </w:p>
    <w:p w14:paraId="29B49F8C" w14:textId="77777777" w:rsidR="0087614E" w:rsidRPr="0024452E" w:rsidRDefault="0087614E">
      <w:pPr>
        <w:rPr>
          <w:rFonts w:asciiTheme="minorHAnsi" w:hAnsiTheme="minorHAnsi"/>
          <w:caps/>
          <w:lang w:val="fr-FR"/>
        </w:rPr>
      </w:pPr>
    </w:p>
    <w:p w14:paraId="1159784E" w14:textId="77777777" w:rsidR="0087614E" w:rsidRPr="0024452E" w:rsidRDefault="0087614E">
      <w:pPr>
        <w:rPr>
          <w:rFonts w:asciiTheme="minorHAnsi" w:hAnsiTheme="minorHAnsi"/>
          <w:caps/>
          <w:lang w:val="fr-FR"/>
        </w:rPr>
      </w:pPr>
    </w:p>
    <w:p w14:paraId="306915E3" w14:textId="77777777" w:rsidR="0087614E" w:rsidRPr="0024452E" w:rsidRDefault="0087614E">
      <w:pPr>
        <w:rPr>
          <w:rFonts w:asciiTheme="minorHAnsi" w:hAnsiTheme="minorHAnsi"/>
          <w:caps/>
          <w:lang w:val="fr-FR"/>
        </w:rPr>
      </w:pPr>
    </w:p>
    <w:p w14:paraId="4A797F3B" w14:textId="77777777" w:rsidR="0087614E" w:rsidRPr="0024452E" w:rsidRDefault="0087614E">
      <w:pPr>
        <w:rPr>
          <w:rFonts w:asciiTheme="minorHAnsi" w:hAnsiTheme="minorHAnsi"/>
          <w:caps/>
          <w:lang w:val="fr-FR"/>
        </w:rPr>
      </w:pPr>
    </w:p>
    <w:p w14:paraId="3212C523" w14:textId="77777777" w:rsidR="0087614E" w:rsidRPr="0024452E" w:rsidRDefault="0087614E">
      <w:pPr>
        <w:rPr>
          <w:rFonts w:asciiTheme="minorHAnsi" w:hAnsiTheme="minorHAnsi"/>
          <w:caps/>
          <w:lang w:val="fr-FR"/>
        </w:rPr>
      </w:pPr>
    </w:p>
    <w:p w14:paraId="1521AD3A" w14:textId="77777777" w:rsidR="00C4753E" w:rsidRPr="0024452E" w:rsidRDefault="00C4753E" w:rsidP="00671E8E">
      <w:pPr>
        <w:pStyle w:val="NoSpacing"/>
        <w:rPr>
          <w:rFonts w:asciiTheme="minorHAnsi" w:hAnsiTheme="minorHAnsi"/>
          <w:color w:val="1F497D"/>
          <w:lang w:val="fr-FR"/>
        </w:rPr>
      </w:pPr>
    </w:p>
    <w:p w14:paraId="47FF57EC" w14:textId="77777777" w:rsidR="00177B12" w:rsidRPr="0024452E" w:rsidRDefault="00177B12" w:rsidP="00177B12">
      <w:pPr>
        <w:pStyle w:val="NoSpacing"/>
        <w:ind w:left="720"/>
        <w:rPr>
          <w:rFonts w:asciiTheme="minorHAnsi" w:hAnsiTheme="minorHAnsi"/>
          <w:color w:val="1F497D"/>
          <w:sz w:val="20"/>
          <w:szCs w:val="20"/>
          <w:lang w:val="fr-FR"/>
        </w:rPr>
      </w:pPr>
      <w:r>
        <w:rPr>
          <w:rFonts w:asciiTheme="minorHAnsi" w:hAnsiTheme="minorHAnsi"/>
          <w:noProof/>
          <w:color w:val="1F497D"/>
          <w:sz w:val="20"/>
          <w:szCs w:val="20"/>
        </w:rPr>
        <w:drawing>
          <wp:anchor distT="0" distB="0" distL="114300" distR="114300" simplePos="0" relativeHeight="251662336" behindDoc="1" locked="0" layoutInCell="1" allowOverlap="1" wp14:anchorId="05A91E67" wp14:editId="43FFFBDB">
            <wp:simplePos x="0" y="0"/>
            <wp:positionH relativeFrom="column">
              <wp:posOffset>76200</wp:posOffset>
            </wp:positionH>
            <wp:positionV relativeFrom="paragraph">
              <wp:posOffset>40640</wp:posOffset>
            </wp:positionV>
            <wp:extent cx="2800350" cy="590550"/>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800350" cy="590550"/>
                    </a:xfrm>
                    <a:prstGeom prst="rect">
                      <a:avLst/>
                    </a:prstGeom>
                    <a:noFill/>
                    <a:ln w="9525">
                      <a:noFill/>
                      <a:miter lim="800000"/>
                      <a:headEnd/>
                      <a:tailEnd/>
                    </a:ln>
                  </pic:spPr>
                </pic:pic>
              </a:graphicData>
            </a:graphic>
          </wp:anchor>
        </w:drawing>
      </w:r>
    </w:p>
    <w:p w14:paraId="29DCC803" w14:textId="77777777" w:rsidR="00177B12" w:rsidRPr="0024452E" w:rsidRDefault="00177B12" w:rsidP="00177B12">
      <w:pPr>
        <w:pStyle w:val="NoSpacing"/>
        <w:ind w:left="720"/>
        <w:rPr>
          <w:rFonts w:asciiTheme="minorHAnsi" w:hAnsiTheme="minorHAnsi"/>
          <w:color w:val="1F497D"/>
          <w:sz w:val="20"/>
          <w:szCs w:val="20"/>
          <w:lang w:val="fr-FR"/>
        </w:rPr>
      </w:pPr>
    </w:p>
    <w:p w14:paraId="15F1D550" w14:textId="77777777" w:rsidR="00177B12" w:rsidRPr="0024452E" w:rsidRDefault="00177B12" w:rsidP="00177B12">
      <w:pPr>
        <w:pStyle w:val="NoSpacing"/>
        <w:ind w:left="720"/>
        <w:rPr>
          <w:rFonts w:asciiTheme="minorHAnsi" w:hAnsiTheme="minorHAnsi"/>
          <w:color w:val="1F497D"/>
          <w:sz w:val="20"/>
          <w:szCs w:val="20"/>
          <w:lang w:val="fr-FR"/>
        </w:rPr>
      </w:pPr>
    </w:p>
    <w:p w14:paraId="799116B5" w14:textId="77777777" w:rsidR="00177B12" w:rsidRPr="0024452E" w:rsidRDefault="00177B12" w:rsidP="00177B12">
      <w:pPr>
        <w:pStyle w:val="NoSpacing"/>
        <w:ind w:left="720"/>
        <w:rPr>
          <w:rFonts w:asciiTheme="minorHAnsi" w:hAnsiTheme="minorHAnsi"/>
          <w:color w:val="1F497D"/>
          <w:sz w:val="20"/>
          <w:szCs w:val="20"/>
          <w:lang w:val="fr-FR"/>
        </w:rPr>
      </w:pPr>
    </w:p>
    <w:p w14:paraId="4E2103E1" w14:textId="77777777" w:rsidR="00D40044" w:rsidRPr="00507C5D" w:rsidRDefault="00D40044" w:rsidP="00D40044">
      <w:pPr>
        <w:pStyle w:val="NoSpacing"/>
        <w:rPr>
          <w:rFonts w:asciiTheme="minorHAnsi" w:hAnsiTheme="minorHAnsi" w:cstheme="minorHAnsi"/>
          <w:color w:val="1F497D"/>
          <w:sz w:val="20"/>
          <w:szCs w:val="20"/>
          <w:lang w:val="fr-FR"/>
        </w:rPr>
      </w:pPr>
      <w:r w:rsidRPr="00507C5D">
        <w:rPr>
          <w:rFonts w:asciiTheme="minorHAnsi" w:hAnsiTheme="minorHAnsi" w:cstheme="minorHAnsi"/>
          <w:color w:val="1F497D"/>
          <w:sz w:val="20"/>
          <w:szCs w:val="20"/>
          <w:lang w:val="fr-FR"/>
        </w:rPr>
        <w:t xml:space="preserve">Metabolon, Inc. • 617 Davis Drive, Suite 400, Durham, NC 27713 • (919) 572-1711  www.metabolon.com • Contact: </w:t>
      </w:r>
      <w:hyperlink r:id="rId10" w:history="1">
        <w:r w:rsidRPr="00507C5D">
          <w:rPr>
            <w:rStyle w:val="Hyperlink"/>
            <w:rFonts w:asciiTheme="minorHAnsi" w:hAnsiTheme="minorHAnsi" w:cstheme="minorHAnsi"/>
            <w:sz w:val="20"/>
            <w:szCs w:val="20"/>
          </w:rPr>
          <w:t>info@metabolon.com</w:t>
        </w:r>
      </w:hyperlink>
    </w:p>
    <w:p w14:paraId="639EBEC1" w14:textId="77777777" w:rsidR="00F44063" w:rsidRPr="009F5FFD" w:rsidRDefault="009F5FFD" w:rsidP="009F5FFD">
      <w:r>
        <w:br w:type="page"/>
      </w:r>
    </w:p>
    <w:sdt>
      <w:sdtPr>
        <w:rPr>
          <w:rFonts w:ascii="Times New Roman" w:hAnsi="Times New Roman"/>
          <w:bCs w:val="0"/>
          <w:color w:val="auto"/>
          <w:szCs w:val="22"/>
        </w:rPr>
        <w:id w:val="1763025239"/>
        <w:docPartObj>
          <w:docPartGallery w:val="Table of Contents"/>
          <w:docPartUnique/>
        </w:docPartObj>
      </w:sdtPr>
      <w:sdtEndPr>
        <w:rPr>
          <w:b/>
          <w:noProof/>
        </w:rPr>
      </w:sdtEndPr>
      <w:sdtContent>
        <w:p w14:paraId="5C08E128" w14:textId="77777777" w:rsidR="0038669C" w:rsidRDefault="0038669C">
          <w:pPr>
            <w:pStyle w:val="TOCHeading"/>
          </w:pPr>
          <w:r>
            <w:t>Table of Contents</w:t>
          </w:r>
        </w:p>
        <w:p w14:paraId="5E4E53A8" w14:textId="77777777" w:rsidR="004E5422" w:rsidRDefault="00EC024A">
          <w:pPr>
            <w:pStyle w:val="TOC1"/>
            <w:rPr>
              <w:rFonts w:eastAsiaTheme="minorEastAsia" w:cstheme="minorBidi"/>
              <w:sz w:val="22"/>
            </w:rPr>
          </w:pPr>
          <w:r>
            <w:fldChar w:fldCharType="begin"/>
          </w:r>
          <w:r w:rsidR="0038669C">
            <w:instrText xml:space="preserve"> TOC \o "1-3" \h \z \u </w:instrText>
          </w:r>
          <w:r>
            <w:fldChar w:fldCharType="separate"/>
          </w:r>
          <w:hyperlink w:anchor="_Toc414973046" w:history="1">
            <w:r w:rsidR="004E5422" w:rsidRPr="003614D1">
              <w:rPr>
                <w:rStyle w:val="Hyperlink"/>
                <w:rFonts w:cstheme="minorHAnsi"/>
                <w:b/>
              </w:rPr>
              <w:t>Objective</w:t>
            </w:r>
            <w:r w:rsidR="004E5422">
              <w:rPr>
                <w:webHidden/>
              </w:rPr>
              <w:tab/>
            </w:r>
            <w:r w:rsidR="004E5422">
              <w:rPr>
                <w:webHidden/>
              </w:rPr>
              <w:fldChar w:fldCharType="begin"/>
            </w:r>
            <w:r w:rsidR="004E5422">
              <w:rPr>
                <w:webHidden/>
              </w:rPr>
              <w:instrText xml:space="preserve"> PAGEREF _Toc414973046 \h </w:instrText>
            </w:r>
            <w:r w:rsidR="004E5422">
              <w:rPr>
                <w:webHidden/>
              </w:rPr>
            </w:r>
            <w:r w:rsidR="004E5422">
              <w:rPr>
                <w:webHidden/>
              </w:rPr>
              <w:fldChar w:fldCharType="separate"/>
            </w:r>
            <w:r w:rsidR="004E5422">
              <w:rPr>
                <w:webHidden/>
              </w:rPr>
              <w:t>3</w:t>
            </w:r>
            <w:r w:rsidR="004E5422">
              <w:rPr>
                <w:webHidden/>
              </w:rPr>
              <w:fldChar w:fldCharType="end"/>
            </w:r>
          </w:hyperlink>
        </w:p>
        <w:p w14:paraId="7DEC3476" w14:textId="77777777" w:rsidR="004E5422" w:rsidRDefault="00373F14">
          <w:pPr>
            <w:pStyle w:val="TOC1"/>
            <w:rPr>
              <w:rFonts w:eastAsiaTheme="minorEastAsia" w:cstheme="minorBidi"/>
              <w:sz w:val="22"/>
            </w:rPr>
          </w:pPr>
          <w:hyperlink w:anchor="_Toc414973047" w:history="1">
            <w:r w:rsidR="004E5422" w:rsidRPr="003614D1">
              <w:rPr>
                <w:rStyle w:val="Hyperlink"/>
                <w:rFonts w:cstheme="minorHAnsi"/>
                <w:b/>
              </w:rPr>
              <w:t>Experimental Procedures</w:t>
            </w:r>
            <w:r w:rsidR="004E5422">
              <w:rPr>
                <w:webHidden/>
              </w:rPr>
              <w:tab/>
            </w:r>
            <w:r w:rsidR="004E5422">
              <w:rPr>
                <w:webHidden/>
              </w:rPr>
              <w:fldChar w:fldCharType="begin"/>
            </w:r>
            <w:r w:rsidR="004E5422">
              <w:rPr>
                <w:webHidden/>
              </w:rPr>
              <w:instrText xml:space="preserve"> PAGEREF _Toc414973047 \h </w:instrText>
            </w:r>
            <w:r w:rsidR="004E5422">
              <w:rPr>
                <w:webHidden/>
              </w:rPr>
            </w:r>
            <w:r w:rsidR="004E5422">
              <w:rPr>
                <w:webHidden/>
              </w:rPr>
              <w:fldChar w:fldCharType="separate"/>
            </w:r>
            <w:r w:rsidR="004E5422">
              <w:rPr>
                <w:webHidden/>
              </w:rPr>
              <w:t>3</w:t>
            </w:r>
            <w:r w:rsidR="004E5422">
              <w:rPr>
                <w:webHidden/>
              </w:rPr>
              <w:fldChar w:fldCharType="end"/>
            </w:r>
          </w:hyperlink>
        </w:p>
        <w:p w14:paraId="69A58A4D" w14:textId="77777777" w:rsidR="004E5422" w:rsidRDefault="00373F14">
          <w:pPr>
            <w:pStyle w:val="TOC1"/>
            <w:rPr>
              <w:rFonts w:eastAsiaTheme="minorEastAsia" w:cstheme="minorBidi"/>
              <w:sz w:val="22"/>
            </w:rPr>
          </w:pPr>
          <w:hyperlink w:anchor="_Toc414973048" w:history="1">
            <w:r w:rsidR="004E5422" w:rsidRPr="003614D1">
              <w:rPr>
                <w:rStyle w:val="Hyperlink"/>
                <w:rFonts w:cstheme="minorHAnsi"/>
                <w:b/>
              </w:rPr>
              <w:t>Results and Biological Interpretation</w:t>
            </w:r>
            <w:r w:rsidR="004E5422">
              <w:rPr>
                <w:webHidden/>
              </w:rPr>
              <w:tab/>
            </w:r>
            <w:r w:rsidR="004E5422">
              <w:rPr>
                <w:webHidden/>
              </w:rPr>
              <w:fldChar w:fldCharType="begin"/>
            </w:r>
            <w:r w:rsidR="004E5422">
              <w:rPr>
                <w:webHidden/>
              </w:rPr>
              <w:instrText xml:space="preserve"> PAGEREF _Toc414973048 \h </w:instrText>
            </w:r>
            <w:r w:rsidR="004E5422">
              <w:rPr>
                <w:webHidden/>
              </w:rPr>
            </w:r>
            <w:r w:rsidR="004E5422">
              <w:rPr>
                <w:webHidden/>
              </w:rPr>
              <w:fldChar w:fldCharType="separate"/>
            </w:r>
            <w:r w:rsidR="004E5422">
              <w:rPr>
                <w:webHidden/>
              </w:rPr>
              <w:t>3</w:t>
            </w:r>
            <w:r w:rsidR="004E5422">
              <w:rPr>
                <w:webHidden/>
              </w:rPr>
              <w:fldChar w:fldCharType="end"/>
            </w:r>
          </w:hyperlink>
        </w:p>
        <w:p w14:paraId="0EB79A7F" w14:textId="77777777" w:rsidR="004E5422" w:rsidRDefault="00373F14">
          <w:pPr>
            <w:pStyle w:val="TOC2"/>
            <w:tabs>
              <w:tab w:val="right" w:leader="dot" w:pos="9350"/>
            </w:tabs>
            <w:rPr>
              <w:rFonts w:asciiTheme="minorHAnsi" w:eastAsiaTheme="minorEastAsia" w:hAnsiTheme="minorHAnsi" w:cstheme="minorBidi"/>
              <w:noProof/>
              <w:sz w:val="22"/>
            </w:rPr>
          </w:pPr>
          <w:hyperlink w:anchor="_Toc414973049" w:history="1">
            <w:r w:rsidR="004E5422" w:rsidRPr="003614D1">
              <w:rPr>
                <w:rStyle w:val="Hyperlink"/>
                <w:noProof/>
              </w:rPr>
              <w:t>Metabolite Summary and Significantly Altered Biochemicals</w:t>
            </w:r>
            <w:r w:rsidR="004E5422">
              <w:rPr>
                <w:noProof/>
                <w:webHidden/>
              </w:rPr>
              <w:tab/>
            </w:r>
            <w:r w:rsidR="004E5422">
              <w:rPr>
                <w:noProof/>
                <w:webHidden/>
              </w:rPr>
              <w:fldChar w:fldCharType="begin"/>
            </w:r>
            <w:r w:rsidR="004E5422">
              <w:rPr>
                <w:noProof/>
                <w:webHidden/>
              </w:rPr>
              <w:instrText xml:space="preserve"> PAGEREF _Toc414973049 \h </w:instrText>
            </w:r>
            <w:r w:rsidR="004E5422">
              <w:rPr>
                <w:noProof/>
                <w:webHidden/>
              </w:rPr>
            </w:r>
            <w:r w:rsidR="004E5422">
              <w:rPr>
                <w:noProof/>
                <w:webHidden/>
              </w:rPr>
              <w:fldChar w:fldCharType="separate"/>
            </w:r>
            <w:r w:rsidR="004E5422">
              <w:rPr>
                <w:noProof/>
                <w:webHidden/>
              </w:rPr>
              <w:t>3</w:t>
            </w:r>
            <w:r w:rsidR="004E5422">
              <w:rPr>
                <w:noProof/>
                <w:webHidden/>
              </w:rPr>
              <w:fldChar w:fldCharType="end"/>
            </w:r>
          </w:hyperlink>
        </w:p>
        <w:p w14:paraId="34AEAA8B" w14:textId="77777777" w:rsidR="004E5422" w:rsidRDefault="00373F14">
          <w:pPr>
            <w:pStyle w:val="TOC2"/>
            <w:tabs>
              <w:tab w:val="right" w:leader="dot" w:pos="9350"/>
            </w:tabs>
            <w:rPr>
              <w:rFonts w:asciiTheme="minorHAnsi" w:eastAsiaTheme="minorEastAsia" w:hAnsiTheme="minorHAnsi" w:cstheme="minorBidi"/>
              <w:noProof/>
              <w:sz w:val="22"/>
            </w:rPr>
          </w:pPr>
          <w:hyperlink w:anchor="_Toc414973050" w:history="1">
            <w:r w:rsidR="004E5422" w:rsidRPr="003614D1">
              <w:rPr>
                <w:rStyle w:val="Hyperlink"/>
                <w:noProof/>
              </w:rPr>
              <w:t>Biological Interpretation</w:t>
            </w:r>
            <w:r w:rsidR="004E5422">
              <w:rPr>
                <w:noProof/>
                <w:webHidden/>
              </w:rPr>
              <w:tab/>
            </w:r>
            <w:r w:rsidR="004E5422">
              <w:rPr>
                <w:noProof/>
                <w:webHidden/>
              </w:rPr>
              <w:fldChar w:fldCharType="begin"/>
            </w:r>
            <w:r w:rsidR="004E5422">
              <w:rPr>
                <w:noProof/>
                <w:webHidden/>
              </w:rPr>
              <w:instrText xml:space="preserve"> PAGEREF _Toc414973050 \h </w:instrText>
            </w:r>
            <w:r w:rsidR="004E5422">
              <w:rPr>
                <w:noProof/>
                <w:webHidden/>
              </w:rPr>
            </w:r>
            <w:r w:rsidR="004E5422">
              <w:rPr>
                <w:noProof/>
                <w:webHidden/>
              </w:rPr>
              <w:fldChar w:fldCharType="separate"/>
            </w:r>
            <w:r w:rsidR="004E5422">
              <w:rPr>
                <w:noProof/>
                <w:webHidden/>
              </w:rPr>
              <w:t>6</w:t>
            </w:r>
            <w:r w:rsidR="004E5422">
              <w:rPr>
                <w:noProof/>
                <w:webHidden/>
              </w:rPr>
              <w:fldChar w:fldCharType="end"/>
            </w:r>
          </w:hyperlink>
        </w:p>
        <w:p w14:paraId="2BD15703" w14:textId="77777777" w:rsidR="004E5422" w:rsidRDefault="00373F14">
          <w:pPr>
            <w:pStyle w:val="TOC1"/>
            <w:rPr>
              <w:rFonts w:eastAsiaTheme="minorEastAsia" w:cstheme="minorBidi"/>
              <w:sz w:val="22"/>
            </w:rPr>
          </w:pPr>
          <w:hyperlink w:anchor="_Toc414973051" w:history="1">
            <w:r w:rsidR="004E5422" w:rsidRPr="003614D1">
              <w:rPr>
                <w:rStyle w:val="Hyperlink"/>
                <w:rFonts w:cstheme="minorHAnsi"/>
                <w:b/>
              </w:rPr>
              <w:t>Conclusions</w:t>
            </w:r>
            <w:r w:rsidR="004E5422">
              <w:rPr>
                <w:webHidden/>
              </w:rPr>
              <w:tab/>
            </w:r>
            <w:r w:rsidR="004E5422">
              <w:rPr>
                <w:webHidden/>
              </w:rPr>
              <w:fldChar w:fldCharType="begin"/>
            </w:r>
            <w:r w:rsidR="004E5422">
              <w:rPr>
                <w:webHidden/>
              </w:rPr>
              <w:instrText xml:space="preserve"> PAGEREF _Toc414973051 \h </w:instrText>
            </w:r>
            <w:r w:rsidR="004E5422">
              <w:rPr>
                <w:webHidden/>
              </w:rPr>
            </w:r>
            <w:r w:rsidR="004E5422">
              <w:rPr>
                <w:webHidden/>
              </w:rPr>
              <w:fldChar w:fldCharType="separate"/>
            </w:r>
            <w:r w:rsidR="004E5422">
              <w:rPr>
                <w:webHidden/>
              </w:rPr>
              <w:t>9</w:t>
            </w:r>
            <w:r w:rsidR="004E5422">
              <w:rPr>
                <w:webHidden/>
              </w:rPr>
              <w:fldChar w:fldCharType="end"/>
            </w:r>
          </w:hyperlink>
        </w:p>
        <w:p w14:paraId="1903D0A1" w14:textId="77777777" w:rsidR="004E5422" w:rsidRDefault="00373F14">
          <w:pPr>
            <w:pStyle w:val="TOC1"/>
            <w:rPr>
              <w:rFonts w:eastAsiaTheme="minorEastAsia" w:cstheme="minorBidi"/>
              <w:sz w:val="22"/>
            </w:rPr>
          </w:pPr>
          <w:hyperlink w:anchor="_Toc414973052" w:history="1">
            <w:r w:rsidR="004E5422" w:rsidRPr="003614D1">
              <w:rPr>
                <w:rStyle w:val="Hyperlink"/>
                <w:rFonts w:cstheme="minorHAnsi"/>
                <w:b/>
              </w:rPr>
              <w:t>Study Parameters</w:t>
            </w:r>
            <w:r w:rsidR="004E5422">
              <w:rPr>
                <w:webHidden/>
              </w:rPr>
              <w:tab/>
            </w:r>
            <w:r w:rsidR="004E5422">
              <w:rPr>
                <w:webHidden/>
              </w:rPr>
              <w:fldChar w:fldCharType="begin"/>
            </w:r>
            <w:r w:rsidR="004E5422">
              <w:rPr>
                <w:webHidden/>
              </w:rPr>
              <w:instrText xml:space="preserve"> PAGEREF _Toc414973052 \h </w:instrText>
            </w:r>
            <w:r w:rsidR="004E5422">
              <w:rPr>
                <w:webHidden/>
              </w:rPr>
            </w:r>
            <w:r w:rsidR="004E5422">
              <w:rPr>
                <w:webHidden/>
              </w:rPr>
              <w:fldChar w:fldCharType="separate"/>
            </w:r>
            <w:r w:rsidR="004E5422">
              <w:rPr>
                <w:webHidden/>
              </w:rPr>
              <w:t>10</w:t>
            </w:r>
            <w:r w:rsidR="004E5422">
              <w:rPr>
                <w:webHidden/>
              </w:rPr>
              <w:fldChar w:fldCharType="end"/>
            </w:r>
          </w:hyperlink>
        </w:p>
        <w:p w14:paraId="42676F5A" w14:textId="77777777" w:rsidR="004E5422" w:rsidRDefault="00373F14">
          <w:pPr>
            <w:pStyle w:val="TOC2"/>
            <w:tabs>
              <w:tab w:val="right" w:leader="dot" w:pos="9350"/>
            </w:tabs>
            <w:rPr>
              <w:rFonts w:asciiTheme="minorHAnsi" w:eastAsiaTheme="minorEastAsia" w:hAnsiTheme="minorHAnsi" w:cstheme="minorBidi"/>
              <w:noProof/>
              <w:sz w:val="22"/>
            </w:rPr>
          </w:pPr>
          <w:hyperlink w:anchor="_Toc414973053" w:history="1">
            <w:r w:rsidR="004E5422" w:rsidRPr="003614D1">
              <w:rPr>
                <w:rStyle w:val="Hyperlink"/>
                <w:noProof/>
              </w:rPr>
              <w:t>Data Quality: Instrument and Process Variability</w:t>
            </w:r>
            <w:r w:rsidR="004E5422">
              <w:rPr>
                <w:noProof/>
                <w:webHidden/>
              </w:rPr>
              <w:tab/>
            </w:r>
            <w:r w:rsidR="004E5422">
              <w:rPr>
                <w:noProof/>
                <w:webHidden/>
              </w:rPr>
              <w:fldChar w:fldCharType="begin"/>
            </w:r>
            <w:r w:rsidR="004E5422">
              <w:rPr>
                <w:noProof/>
                <w:webHidden/>
              </w:rPr>
              <w:instrText xml:space="preserve"> PAGEREF _Toc414973053 \h </w:instrText>
            </w:r>
            <w:r w:rsidR="004E5422">
              <w:rPr>
                <w:noProof/>
                <w:webHidden/>
              </w:rPr>
            </w:r>
            <w:r w:rsidR="004E5422">
              <w:rPr>
                <w:noProof/>
                <w:webHidden/>
              </w:rPr>
              <w:fldChar w:fldCharType="separate"/>
            </w:r>
            <w:r w:rsidR="004E5422">
              <w:rPr>
                <w:noProof/>
                <w:webHidden/>
              </w:rPr>
              <w:t>10</w:t>
            </w:r>
            <w:r w:rsidR="004E5422">
              <w:rPr>
                <w:noProof/>
                <w:webHidden/>
              </w:rPr>
              <w:fldChar w:fldCharType="end"/>
            </w:r>
          </w:hyperlink>
        </w:p>
        <w:p w14:paraId="1527B8BF" w14:textId="77777777" w:rsidR="004E5422" w:rsidRDefault="00373F14">
          <w:pPr>
            <w:pStyle w:val="TOC1"/>
            <w:rPr>
              <w:rFonts w:eastAsiaTheme="minorEastAsia" w:cstheme="minorBidi"/>
              <w:sz w:val="22"/>
            </w:rPr>
          </w:pPr>
          <w:hyperlink w:anchor="_Toc414973054" w:history="1">
            <w:r w:rsidR="004E5422" w:rsidRPr="003614D1">
              <w:rPr>
                <w:rStyle w:val="Hyperlink"/>
                <w:rFonts w:cstheme="minorHAnsi"/>
                <w:b/>
              </w:rPr>
              <w:t>Appendix</w:t>
            </w:r>
            <w:r w:rsidR="004E5422">
              <w:rPr>
                <w:webHidden/>
              </w:rPr>
              <w:tab/>
            </w:r>
            <w:r w:rsidR="004E5422">
              <w:rPr>
                <w:webHidden/>
              </w:rPr>
              <w:fldChar w:fldCharType="begin"/>
            </w:r>
            <w:r w:rsidR="004E5422">
              <w:rPr>
                <w:webHidden/>
              </w:rPr>
              <w:instrText xml:space="preserve"> PAGEREF _Toc414973054 \h </w:instrText>
            </w:r>
            <w:r w:rsidR="004E5422">
              <w:rPr>
                <w:webHidden/>
              </w:rPr>
            </w:r>
            <w:r w:rsidR="004E5422">
              <w:rPr>
                <w:webHidden/>
              </w:rPr>
              <w:fldChar w:fldCharType="separate"/>
            </w:r>
            <w:r w:rsidR="004E5422">
              <w:rPr>
                <w:webHidden/>
              </w:rPr>
              <w:t>11</w:t>
            </w:r>
            <w:r w:rsidR="004E5422">
              <w:rPr>
                <w:webHidden/>
              </w:rPr>
              <w:fldChar w:fldCharType="end"/>
            </w:r>
          </w:hyperlink>
        </w:p>
        <w:p w14:paraId="2FE74431" w14:textId="77777777" w:rsidR="004E5422" w:rsidRDefault="00373F14">
          <w:pPr>
            <w:pStyle w:val="TOC2"/>
            <w:tabs>
              <w:tab w:val="right" w:leader="dot" w:pos="9350"/>
            </w:tabs>
            <w:rPr>
              <w:rFonts w:asciiTheme="minorHAnsi" w:eastAsiaTheme="minorEastAsia" w:hAnsiTheme="minorHAnsi" w:cstheme="minorBidi"/>
              <w:noProof/>
              <w:sz w:val="22"/>
            </w:rPr>
          </w:pPr>
          <w:hyperlink w:anchor="_Toc414973055" w:history="1">
            <w:r w:rsidR="004E5422" w:rsidRPr="003614D1">
              <w:rPr>
                <w:rStyle w:val="Hyperlink"/>
                <w:noProof/>
              </w:rPr>
              <w:t>Metabolon Platform</w:t>
            </w:r>
            <w:r w:rsidR="004E5422">
              <w:rPr>
                <w:noProof/>
                <w:webHidden/>
              </w:rPr>
              <w:tab/>
            </w:r>
            <w:r w:rsidR="004E5422">
              <w:rPr>
                <w:noProof/>
                <w:webHidden/>
              </w:rPr>
              <w:fldChar w:fldCharType="begin"/>
            </w:r>
            <w:r w:rsidR="004E5422">
              <w:rPr>
                <w:noProof/>
                <w:webHidden/>
              </w:rPr>
              <w:instrText xml:space="preserve"> PAGEREF _Toc414973055 \h </w:instrText>
            </w:r>
            <w:r w:rsidR="004E5422">
              <w:rPr>
                <w:noProof/>
                <w:webHidden/>
              </w:rPr>
            </w:r>
            <w:r w:rsidR="004E5422">
              <w:rPr>
                <w:noProof/>
                <w:webHidden/>
              </w:rPr>
              <w:fldChar w:fldCharType="separate"/>
            </w:r>
            <w:r w:rsidR="004E5422">
              <w:rPr>
                <w:noProof/>
                <w:webHidden/>
              </w:rPr>
              <w:t>11</w:t>
            </w:r>
            <w:r w:rsidR="004E5422">
              <w:rPr>
                <w:noProof/>
                <w:webHidden/>
              </w:rPr>
              <w:fldChar w:fldCharType="end"/>
            </w:r>
          </w:hyperlink>
        </w:p>
        <w:p w14:paraId="562FC63E" w14:textId="77777777" w:rsidR="004E5422" w:rsidRDefault="00373F14">
          <w:pPr>
            <w:pStyle w:val="TOC2"/>
            <w:tabs>
              <w:tab w:val="right" w:leader="dot" w:pos="9350"/>
            </w:tabs>
            <w:rPr>
              <w:rFonts w:asciiTheme="minorHAnsi" w:eastAsiaTheme="minorEastAsia" w:hAnsiTheme="minorHAnsi" w:cstheme="minorBidi"/>
              <w:noProof/>
              <w:sz w:val="22"/>
            </w:rPr>
          </w:pPr>
          <w:hyperlink w:anchor="_Toc414973056" w:history="1">
            <w:r w:rsidR="004E5422" w:rsidRPr="003614D1">
              <w:rPr>
                <w:rStyle w:val="Hyperlink"/>
                <w:noProof/>
              </w:rPr>
              <w:t>Statistical Methods and Terminology</w:t>
            </w:r>
            <w:r w:rsidR="004E5422">
              <w:rPr>
                <w:noProof/>
                <w:webHidden/>
              </w:rPr>
              <w:tab/>
            </w:r>
            <w:r w:rsidR="004E5422">
              <w:rPr>
                <w:noProof/>
                <w:webHidden/>
              </w:rPr>
              <w:fldChar w:fldCharType="begin"/>
            </w:r>
            <w:r w:rsidR="004E5422">
              <w:rPr>
                <w:noProof/>
                <w:webHidden/>
              </w:rPr>
              <w:instrText xml:space="preserve"> PAGEREF _Toc414973056 \h </w:instrText>
            </w:r>
            <w:r w:rsidR="004E5422">
              <w:rPr>
                <w:noProof/>
                <w:webHidden/>
              </w:rPr>
            </w:r>
            <w:r w:rsidR="004E5422">
              <w:rPr>
                <w:noProof/>
                <w:webHidden/>
              </w:rPr>
              <w:fldChar w:fldCharType="separate"/>
            </w:r>
            <w:r w:rsidR="004E5422">
              <w:rPr>
                <w:noProof/>
                <w:webHidden/>
              </w:rPr>
              <w:t>16</w:t>
            </w:r>
            <w:r w:rsidR="004E5422">
              <w:rPr>
                <w:noProof/>
                <w:webHidden/>
              </w:rPr>
              <w:fldChar w:fldCharType="end"/>
            </w:r>
          </w:hyperlink>
        </w:p>
        <w:p w14:paraId="2B285A7F" w14:textId="77777777" w:rsidR="0038669C" w:rsidRDefault="00EC024A">
          <w:r>
            <w:rPr>
              <w:b/>
              <w:bCs/>
              <w:noProof/>
            </w:rPr>
            <w:fldChar w:fldCharType="end"/>
          </w:r>
        </w:p>
      </w:sdtContent>
    </w:sdt>
    <w:p w14:paraId="46247900" w14:textId="77777777" w:rsidR="00C4753E" w:rsidRPr="0024452E" w:rsidRDefault="00C4753E" w:rsidP="00C4753E">
      <w:pPr>
        <w:rPr>
          <w:rFonts w:asciiTheme="minorHAnsi" w:hAnsiTheme="minorHAnsi"/>
          <w:b/>
          <w:sz w:val="28"/>
          <w:szCs w:val="28"/>
        </w:rPr>
      </w:pPr>
      <w:r w:rsidRPr="0024452E">
        <w:rPr>
          <w:rFonts w:asciiTheme="minorHAnsi" w:hAnsiTheme="minorHAnsi"/>
        </w:rPr>
        <w:br w:type="page"/>
      </w:r>
    </w:p>
    <w:p w14:paraId="0042DE0E" w14:textId="77777777" w:rsidR="004146CE" w:rsidRPr="00D45713" w:rsidRDefault="004146CE" w:rsidP="004146CE">
      <w:pPr>
        <w:pStyle w:val="Heading1"/>
        <w:rPr>
          <w:rFonts w:asciiTheme="minorHAnsi" w:hAnsiTheme="minorHAnsi" w:cstheme="minorHAnsi"/>
          <w:b/>
          <w:sz w:val="28"/>
          <w:szCs w:val="28"/>
        </w:rPr>
      </w:pPr>
      <w:bookmarkStart w:id="1" w:name="_Toc384307543"/>
      <w:bookmarkStart w:id="2" w:name="_Toc414973046"/>
      <w:bookmarkStart w:id="3" w:name="OLE_LINK3"/>
      <w:bookmarkStart w:id="4" w:name="OLE_LINK4"/>
      <w:r w:rsidRPr="00D45713">
        <w:rPr>
          <w:rFonts w:asciiTheme="minorHAnsi" w:hAnsiTheme="minorHAnsi" w:cstheme="minorHAnsi"/>
          <w:b/>
          <w:sz w:val="28"/>
          <w:szCs w:val="28"/>
        </w:rPr>
        <w:lastRenderedPageBreak/>
        <w:t>Objective</w:t>
      </w:r>
      <w:bookmarkEnd w:id="1"/>
      <w:bookmarkEnd w:id="2"/>
    </w:p>
    <w:p w14:paraId="204D6587" w14:textId="77777777" w:rsidR="004146CE" w:rsidRPr="00223A57" w:rsidRDefault="004146CE" w:rsidP="004146CE">
      <w:pPr>
        <w:spacing w:before="240" w:after="120"/>
        <w:rPr>
          <w:rFonts w:asciiTheme="minorHAnsi" w:hAnsiTheme="minorHAnsi" w:cstheme="minorHAnsi"/>
          <w:b/>
          <w:i/>
          <w:sz w:val="28"/>
          <w:szCs w:val="28"/>
        </w:rPr>
      </w:pPr>
      <w:r w:rsidRPr="00223A57">
        <w:rPr>
          <w:rFonts w:asciiTheme="minorHAnsi" w:hAnsiTheme="minorHAnsi" w:cstheme="minorHAnsi"/>
          <w:b/>
          <w:i/>
          <w:sz w:val="28"/>
          <w:szCs w:val="28"/>
        </w:rPr>
        <w:t>Purpose of Experiment</w:t>
      </w:r>
    </w:p>
    <w:p w14:paraId="543CA67D" w14:textId="77777777" w:rsidR="00860FEA" w:rsidRPr="00860FEA" w:rsidRDefault="00A76EDB" w:rsidP="00223A57">
      <w:pPr>
        <w:spacing w:after="360"/>
        <w:jc w:val="both"/>
        <w:rPr>
          <w:rFonts w:asciiTheme="minorHAnsi" w:hAnsiTheme="minorHAnsi" w:cstheme="minorHAnsi"/>
        </w:rPr>
      </w:pPr>
      <w:r w:rsidRPr="00A76EDB">
        <w:rPr>
          <w:rFonts w:asciiTheme="minorHAnsi" w:hAnsiTheme="minorHAnsi"/>
        </w:rPr>
        <w:t xml:space="preserve">The goal </w:t>
      </w:r>
      <w:r w:rsidR="00F92700">
        <w:rPr>
          <w:rFonts w:asciiTheme="minorHAnsi" w:hAnsiTheme="minorHAnsi"/>
        </w:rPr>
        <w:t xml:space="preserve">of this </w:t>
      </w:r>
      <w:r w:rsidR="00F92700" w:rsidRPr="00136FD4">
        <w:rPr>
          <w:rFonts w:asciiTheme="minorHAnsi" w:hAnsiTheme="minorHAnsi" w:cstheme="minorHAnsi"/>
        </w:rPr>
        <w:t xml:space="preserve">study </w:t>
      </w:r>
      <w:r w:rsidR="00B26BA1" w:rsidRPr="00136FD4">
        <w:rPr>
          <w:rFonts w:asciiTheme="minorHAnsi" w:hAnsiTheme="minorHAnsi" w:cstheme="minorHAnsi"/>
        </w:rPr>
        <w:t>was</w:t>
      </w:r>
      <w:r w:rsidR="00742F55">
        <w:rPr>
          <w:rFonts w:asciiTheme="minorHAnsi" w:hAnsiTheme="minorHAnsi" w:cstheme="minorHAnsi"/>
        </w:rPr>
        <w:t xml:space="preserve"> to </w:t>
      </w:r>
      <w:r w:rsidR="00BE0D13">
        <w:rPr>
          <w:rFonts w:asciiTheme="minorHAnsi" w:hAnsiTheme="minorHAnsi" w:cstheme="minorHAnsi"/>
        </w:rPr>
        <w:t xml:space="preserve">interrogate biochemical profiles in </w:t>
      </w:r>
      <w:r w:rsidR="00DC48A7">
        <w:rPr>
          <w:rFonts w:asciiTheme="minorHAnsi" w:hAnsiTheme="minorHAnsi" w:cstheme="minorHAnsi"/>
        </w:rPr>
        <w:t>murine lung tissue and serum</w:t>
      </w:r>
      <w:r w:rsidR="00BE0D13">
        <w:rPr>
          <w:rFonts w:asciiTheme="minorHAnsi" w:hAnsiTheme="minorHAnsi" w:cstheme="minorHAnsi"/>
        </w:rPr>
        <w:t xml:space="preserve"> originating from</w:t>
      </w:r>
      <w:r w:rsidR="000663DE">
        <w:rPr>
          <w:rFonts w:asciiTheme="minorHAnsi" w:hAnsiTheme="minorHAnsi" w:cstheme="minorHAnsi"/>
        </w:rPr>
        <w:t xml:space="preserve"> mice t</w:t>
      </w:r>
      <w:r w:rsidR="00DC48A7">
        <w:rPr>
          <w:rFonts w:asciiTheme="minorHAnsi" w:hAnsiTheme="minorHAnsi" w:cstheme="minorHAnsi"/>
        </w:rPr>
        <w:t>reated with an antibiotic cocktail</w:t>
      </w:r>
      <w:r w:rsidR="000663DE">
        <w:rPr>
          <w:rFonts w:asciiTheme="minorHAnsi" w:hAnsiTheme="minorHAnsi" w:cstheme="minorHAnsi"/>
        </w:rPr>
        <w:t xml:space="preserve"> and untreated control mice prior to exposure to either ambient air or ozone</w:t>
      </w:r>
      <w:r w:rsidR="00BE0D13">
        <w:rPr>
          <w:rFonts w:asciiTheme="minorHAnsi" w:hAnsiTheme="minorHAnsi" w:cstheme="minorHAnsi"/>
        </w:rPr>
        <w:t xml:space="preserve">, with the aim of </w:t>
      </w:r>
      <w:r w:rsidR="00DC48A7">
        <w:rPr>
          <w:rFonts w:asciiTheme="minorHAnsi" w:hAnsiTheme="minorHAnsi" w:cstheme="minorHAnsi"/>
        </w:rPr>
        <w:t xml:space="preserve">investigating </w:t>
      </w:r>
      <w:r w:rsidR="000663DE">
        <w:rPr>
          <w:rFonts w:asciiTheme="minorHAnsi" w:hAnsiTheme="minorHAnsi" w:cstheme="minorHAnsi"/>
        </w:rPr>
        <w:t xml:space="preserve">the metabolic consequence of ozone </w:t>
      </w:r>
      <w:r w:rsidR="00A90B6C">
        <w:rPr>
          <w:rFonts w:asciiTheme="minorHAnsi" w:hAnsiTheme="minorHAnsi" w:cstheme="minorHAnsi"/>
        </w:rPr>
        <w:t xml:space="preserve">exposure </w:t>
      </w:r>
      <w:r w:rsidR="006A7D98">
        <w:rPr>
          <w:rFonts w:asciiTheme="minorHAnsi" w:hAnsiTheme="minorHAnsi" w:cstheme="minorHAnsi"/>
        </w:rPr>
        <w:t xml:space="preserve">following </w:t>
      </w:r>
      <w:r w:rsidR="00A90B6C">
        <w:rPr>
          <w:rFonts w:asciiTheme="minorHAnsi" w:hAnsiTheme="minorHAnsi" w:cstheme="minorHAnsi"/>
        </w:rPr>
        <w:t>attenuat</w:t>
      </w:r>
      <w:r w:rsidR="006A7D98">
        <w:rPr>
          <w:rFonts w:asciiTheme="minorHAnsi" w:hAnsiTheme="minorHAnsi" w:cstheme="minorHAnsi"/>
        </w:rPr>
        <w:t>ion of native</w:t>
      </w:r>
      <w:r w:rsidR="00A90B6C">
        <w:rPr>
          <w:rFonts w:asciiTheme="minorHAnsi" w:hAnsiTheme="minorHAnsi" w:cstheme="minorHAnsi"/>
        </w:rPr>
        <w:t xml:space="preserve"> microbiota</w:t>
      </w:r>
      <w:r w:rsidR="00BE0D13">
        <w:rPr>
          <w:rFonts w:asciiTheme="minorHAnsi" w:hAnsiTheme="minorHAnsi" w:cstheme="minorHAnsi"/>
        </w:rPr>
        <w:t>.</w:t>
      </w:r>
      <w:r w:rsidR="00242382">
        <w:rPr>
          <w:rFonts w:asciiTheme="minorHAnsi" w:hAnsiTheme="minorHAnsi" w:cstheme="minorHAnsi"/>
        </w:rPr>
        <w:t xml:space="preserve"> </w:t>
      </w:r>
    </w:p>
    <w:p w14:paraId="35CBE559" w14:textId="77777777" w:rsidR="004146CE" w:rsidRPr="00D45713" w:rsidRDefault="004146CE" w:rsidP="004146CE">
      <w:pPr>
        <w:pStyle w:val="Heading1"/>
        <w:rPr>
          <w:rFonts w:asciiTheme="minorHAnsi" w:hAnsiTheme="minorHAnsi" w:cstheme="minorHAnsi"/>
          <w:b/>
          <w:sz w:val="28"/>
        </w:rPr>
      </w:pPr>
      <w:bookmarkStart w:id="5" w:name="_Toc384307544"/>
      <w:bookmarkStart w:id="6" w:name="_Toc414973047"/>
      <w:bookmarkEnd w:id="3"/>
      <w:bookmarkEnd w:id="4"/>
      <w:r w:rsidRPr="00D45713">
        <w:rPr>
          <w:rFonts w:asciiTheme="minorHAnsi" w:hAnsiTheme="minorHAnsi" w:cstheme="minorHAnsi"/>
          <w:b/>
          <w:sz w:val="28"/>
        </w:rPr>
        <w:t>Experimental Procedures</w:t>
      </w:r>
      <w:bookmarkEnd w:id="5"/>
      <w:bookmarkEnd w:id="6"/>
    </w:p>
    <w:p w14:paraId="6A2A5C4C" w14:textId="77777777" w:rsidR="004146CE" w:rsidRPr="00D45713" w:rsidRDefault="004146CE" w:rsidP="00223A57">
      <w:pPr>
        <w:spacing w:before="360" w:after="120"/>
        <w:rPr>
          <w:rFonts w:asciiTheme="minorHAnsi" w:hAnsiTheme="minorHAnsi" w:cstheme="minorHAnsi"/>
          <w:b/>
          <w:i/>
          <w:sz w:val="28"/>
          <w:szCs w:val="28"/>
        </w:rPr>
      </w:pPr>
      <w:r w:rsidRPr="00D45713">
        <w:rPr>
          <w:rFonts w:asciiTheme="minorHAnsi" w:hAnsiTheme="minorHAnsi" w:cstheme="minorHAnsi"/>
          <w:b/>
          <w:i/>
          <w:sz w:val="28"/>
          <w:szCs w:val="28"/>
        </w:rPr>
        <w:t>Experimental design</w:t>
      </w:r>
    </w:p>
    <w:p w14:paraId="7623CF0F" w14:textId="77777777" w:rsidR="00860FEA" w:rsidRPr="00C42A22" w:rsidRDefault="00BE0D13" w:rsidP="001A6645">
      <w:pPr>
        <w:spacing w:after="480"/>
        <w:jc w:val="both"/>
        <w:rPr>
          <w:rFonts w:asciiTheme="minorHAnsi" w:hAnsiTheme="minorHAnsi" w:cstheme="minorHAnsi"/>
        </w:rPr>
      </w:pPr>
      <w:r w:rsidRPr="00BE0D13">
        <w:rPr>
          <w:rFonts w:asciiTheme="minorHAnsi" w:hAnsiTheme="minorHAnsi" w:cstheme="minorHAnsi"/>
        </w:rPr>
        <w:t xml:space="preserve">Global biochemical profiles were </w:t>
      </w:r>
      <w:r>
        <w:rPr>
          <w:rFonts w:asciiTheme="minorHAnsi" w:hAnsiTheme="minorHAnsi" w:cstheme="minorHAnsi"/>
        </w:rPr>
        <w:t xml:space="preserve">determined in </w:t>
      </w:r>
      <w:r w:rsidR="003F242A">
        <w:rPr>
          <w:rFonts w:asciiTheme="minorHAnsi" w:hAnsiTheme="minorHAnsi" w:cstheme="minorHAnsi"/>
        </w:rPr>
        <w:t xml:space="preserve">lung tissue and serum </w:t>
      </w:r>
      <w:r>
        <w:rPr>
          <w:rFonts w:asciiTheme="minorHAnsi" w:hAnsiTheme="minorHAnsi" w:cstheme="minorHAnsi"/>
        </w:rPr>
        <w:t xml:space="preserve">collected from </w:t>
      </w:r>
      <w:r w:rsidR="003F242A">
        <w:rPr>
          <w:rFonts w:asciiTheme="minorHAnsi" w:hAnsiTheme="minorHAnsi" w:cstheme="minorHAnsi"/>
        </w:rPr>
        <w:t xml:space="preserve">untreated control mice and mice treated </w:t>
      </w:r>
      <w:r w:rsidR="005353B4">
        <w:rPr>
          <w:rFonts w:asciiTheme="minorHAnsi" w:hAnsiTheme="minorHAnsi" w:cstheme="minorHAnsi"/>
        </w:rPr>
        <w:t xml:space="preserve">for two weeks </w:t>
      </w:r>
      <w:r w:rsidR="003F242A">
        <w:rPr>
          <w:rFonts w:asciiTheme="minorHAnsi" w:hAnsiTheme="minorHAnsi" w:cstheme="minorHAnsi"/>
        </w:rPr>
        <w:t xml:space="preserve">with </w:t>
      </w:r>
      <w:r w:rsidR="005353B4">
        <w:rPr>
          <w:rFonts w:asciiTheme="minorHAnsi" w:hAnsiTheme="minorHAnsi" w:cstheme="minorHAnsi"/>
        </w:rPr>
        <w:t>untreated drinking water or water containing an</w:t>
      </w:r>
      <w:r w:rsidR="003F242A">
        <w:rPr>
          <w:rFonts w:asciiTheme="minorHAnsi" w:hAnsiTheme="minorHAnsi" w:cstheme="minorHAnsi"/>
        </w:rPr>
        <w:t xml:space="preserve"> antibiotic cocktail </w:t>
      </w:r>
      <w:r w:rsidR="006A7D98">
        <w:rPr>
          <w:rFonts w:asciiTheme="minorHAnsi" w:hAnsiTheme="minorHAnsi" w:cstheme="minorHAnsi"/>
        </w:rPr>
        <w:t xml:space="preserve">(ampicillin, neomycin, metronidazole, </w:t>
      </w:r>
      <w:r w:rsidR="00D650DE">
        <w:rPr>
          <w:rFonts w:asciiTheme="minorHAnsi" w:hAnsiTheme="minorHAnsi" w:cstheme="minorHAnsi"/>
        </w:rPr>
        <w:t xml:space="preserve">and </w:t>
      </w:r>
      <w:r w:rsidR="006A7D98">
        <w:rPr>
          <w:rFonts w:asciiTheme="minorHAnsi" w:hAnsiTheme="minorHAnsi" w:cstheme="minorHAnsi"/>
        </w:rPr>
        <w:t>vancomycin)</w:t>
      </w:r>
      <w:r w:rsidR="005353B4">
        <w:rPr>
          <w:rFonts w:asciiTheme="minorHAnsi" w:hAnsiTheme="minorHAnsi" w:cstheme="minorHAnsi"/>
        </w:rPr>
        <w:t>, followed by a three hour exposure to ambient air or ozone (2ppm)</w:t>
      </w:r>
      <w:r w:rsidR="0081765E">
        <w:rPr>
          <w:rFonts w:asciiTheme="minorHAnsi" w:hAnsiTheme="minorHAnsi" w:cstheme="minorHAnsi"/>
        </w:rPr>
        <w:t>.</w:t>
      </w:r>
      <w:r w:rsidR="00FA78D0">
        <w:rPr>
          <w:rFonts w:asciiTheme="minorHAnsi" w:hAnsiTheme="minorHAnsi" w:cstheme="minorHAnsi"/>
        </w:rPr>
        <w:t xml:space="preserve"> </w:t>
      </w:r>
      <w:r w:rsidR="00D650DE">
        <w:rPr>
          <w:rFonts w:asciiTheme="minorHAnsi" w:hAnsiTheme="minorHAnsi" w:cstheme="minorHAnsi"/>
        </w:rPr>
        <w:t xml:space="preserve"> </w:t>
      </w:r>
      <w:r w:rsidR="00FA78D0">
        <w:rPr>
          <w:rFonts w:asciiTheme="minorHAnsi" w:hAnsiTheme="minorHAnsi" w:cstheme="minorHAnsi"/>
        </w:rPr>
        <w:t>Sample collection occurred 24 hours post</w:t>
      </w:r>
      <w:r w:rsidR="00D650DE">
        <w:rPr>
          <w:rFonts w:asciiTheme="minorHAnsi" w:hAnsiTheme="minorHAnsi" w:cstheme="minorHAnsi"/>
        </w:rPr>
        <w:t>-ozone</w:t>
      </w:r>
      <w:r w:rsidR="00FA78D0">
        <w:rPr>
          <w:rFonts w:asciiTheme="minorHAnsi" w:hAnsiTheme="minorHAnsi" w:cstheme="minorHAnsi"/>
        </w:rPr>
        <w:t xml:space="preserve"> exposure.</w:t>
      </w:r>
    </w:p>
    <w:tbl>
      <w:tblPr>
        <w:tblStyle w:val="TableGrid"/>
        <w:tblW w:w="3791" w:type="pct"/>
        <w:jc w:val="center"/>
        <w:tblLook w:val="04A0" w:firstRow="1" w:lastRow="0" w:firstColumn="1" w:lastColumn="0" w:noHBand="0" w:noVBand="1"/>
      </w:tblPr>
      <w:tblGrid>
        <w:gridCol w:w="1267"/>
        <w:gridCol w:w="1361"/>
        <w:gridCol w:w="1361"/>
        <w:gridCol w:w="3108"/>
      </w:tblGrid>
      <w:tr w:rsidR="00B3721A" w:rsidRPr="00930D13" w14:paraId="1BE53DD3" w14:textId="77777777" w:rsidTr="00B3721A">
        <w:trPr>
          <w:trHeight w:val="150"/>
          <w:jc w:val="center"/>
        </w:trPr>
        <w:tc>
          <w:tcPr>
            <w:tcW w:w="892" w:type="pct"/>
            <w:vMerge w:val="restart"/>
            <w:tcBorders>
              <w:top w:val="single" w:sz="12" w:space="0" w:color="000000"/>
              <w:left w:val="nil"/>
            </w:tcBorders>
            <w:shd w:val="clear" w:color="auto" w:fill="B8CCE4" w:themeFill="accent1" w:themeFillTint="66"/>
            <w:vAlign w:val="center"/>
          </w:tcPr>
          <w:p w14:paraId="56CB7187" w14:textId="77777777" w:rsidR="00B3721A" w:rsidRPr="001936E4" w:rsidRDefault="00B3721A" w:rsidP="00DB4C08">
            <w:pPr>
              <w:jc w:val="center"/>
              <w:rPr>
                <w:rFonts w:asciiTheme="minorHAnsi" w:hAnsiTheme="minorHAnsi" w:cs="Arial"/>
                <w:b/>
                <w:szCs w:val="24"/>
              </w:rPr>
            </w:pPr>
            <w:r w:rsidRPr="001936E4">
              <w:rPr>
                <w:rFonts w:asciiTheme="minorHAnsi" w:hAnsiTheme="minorHAnsi" w:cs="Arial"/>
                <w:b/>
                <w:szCs w:val="24"/>
              </w:rPr>
              <w:t>Group</w:t>
            </w:r>
          </w:p>
        </w:tc>
        <w:tc>
          <w:tcPr>
            <w:tcW w:w="1918" w:type="pct"/>
            <w:gridSpan w:val="2"/>
            <w:tcBorders>
              <w:top w:val="single" w:sz="12" w:space="0" w:color="000000"/>
              <w:bottom w:val="nil"/>
            </w:tcBorders>
            <w:shd w:val="clear" w:color="auto" w:fill="B8CCE4" w:themeFill="accent1" w:themeFillTint="66"/>
            <w:vAlign w:val="center"/>
          </w:tcPr>
          <w:p w14:paraId="55CF2447" w14:textId="77777777" w:rsidR="00B3721A" w:rsidRPr="001936E4" w:rsidRDefault="00B3721A" w:rsidP="00DB4C08">
            <w:pPr>
              <w:jc w:val="center"/>
              <w:rPr>
                <w:rFonts w:asciiTheme="minorHAnsi" w:hAnsiTheme="minorHAnsi" w:cs="Arial"/>
                <w:b/>
                <w:szCs w:val="24"/>
              </w:rPr>
            </w:pPr>
            <w:r>
              <w:rPr>
                <w:rFonts w:asciiTheme="minorHAnsi" w:hAnsiTheme="minorHAnsi" w:cs="Arial"/>
                <w:b/>
                <w:szCs w:val="24"/>
              </w:rPr>
              <w:t>n</w:t>
            </w:r>
          </w:p>
        </w:tc>
        <w:tc>
          <w:tcPr>
            <w:tcW w:w="2190" w:type="pct"/>
            <w:vMerge w:val="restart"/>
            <w:tcBorders>
              <w:top w:val="single" w:sz="12" w:space="0" w:color="000000"/>
              <w:right w:val="nil"/>
            </w:tcBorders>
            <w:shd w:val="clear" w:color="auto" w:fill="B8CCE4" w:themeFill="accent1" w:themeFillTint="66"/>
            <w:vAlign w:val="center"/>
          </w:tcPr>
          <w:p w14:paraId="06AFA8A4" w14:textId="77777777" w:rsidR="00B3721A" w:rsidRPr="001936E4" w:rsidRDefault="00B3721A" w:rsidP="00DB4C08">
            <w:pPr>
              <w:jc w:val="center"/>
              <w:rPr>
                <w:rFonts w:asciiTheme="minorHAnsi" w:hAnsiTheme="minorHAnsi" w:cs="Arial"/>
                <w:b/>
                <w:szCs w:val="24"/>
              </w:rPr>
            </w:pPr>
            <w:r w:rsidRPr="001936E4">
              <w:rPr>
                <w:rFonts w:asciiTheme="minorHAnsi" w:hAnsiTheme="minorHAnsi" w:cs="Arial"/>
                <w:b/>
                <w:szCs w:val="24"/>
              </w:rPr>
              <w:t>Description</w:t>
            </w:r>
          </w:p>
        </w:tc>
      </w:tr>
      <w:tr w:rsidR="00B3721A" w:rsidRPr="00930D13" w14:paraId="5458507C" w14:textId="77777777" w:rsidTr="00B3721A">
        <w:trPr>
          <w:trHeight w:val="150"/>
          <w:jc w:val="center"/>
        </w:trPr>
        <w:tc>
          <w:tcPr>
            <w:tcW w:w="892" w:type="pct"/>
            <w:vMerge/>
            <w:tcBorders>
              <w:left w:val="nil"/>
              <w:bottom w:val="single" w:sz="12" w:space="0" w:color="000000"/>
            </w:tcBorders>
            <w:shd w:val="clear" w:color="auto" w:fill="B8CCE4" w:themeFill="accent1" w:themeFillTint="66"/>
            <w:vAlign w:val="center"/>
          </w:tcPr>
          <w:p w14:paraId="44817B81" w14:textId="77777777" w:rsidR="00B3721A" w:rsidRPr="001936E4" w:rsidRDefault="00B3721A" w:rsidP="00DB4C08">
            <w:pPr>
              <w:jc w:val="center"/>
              <w:rPr>
                <w:rFonts w:asciiTheme="minorHAnsi" w:hAnsiTheme="minorHAnsi" w:cs="Arial"/>
                <w:b/>
                <w:szCs w:val="24"/>
              </w:rPr>
            </w:pPr>
          </w:p>
        </w:tc>
        <w:tc>
          <w:tcPr>
            <w:tcW w:w="959" w:type="pct"/>
            <w:tcBorders>
              <w:top w:val="nil"/>
              <w:bottom w:val="single" w:sz="12" w:space="0" w:color="000000"/>
            </w:tcBorders>
            <w:shd w:val="clear" w:color="auto" w:fill="B8CCE4" w:themeFill="accent1" w:themeFillTint="66"/>
            <w:vAlign w:val="center"/>
          </w:tcPr>
          <w:p w14:paraId="366BD204" w14:textId="77777777" w:rsidR="00B3721A" w:rsidRDefault="00B3721A" w:rsidP="00DB4C08">
            <w:pPr>
              <w:jc w:val="center"/>
              <w:rPr>
                <w:rFonts w:asciiTheme="minorHAnsi" w:hAnsiTheme="minorHAnsi" w:cs="Arial"/>
                <w:b/>
                <w:szCs w:val="24"/>
              </w:rPr>
            </w:pPr>
            <w:r>
              <w:rPr>
                <w:rFonts w:asciiTheme="minorHAnsi" w:hAnsiTheme="minorHAnsi" w:cs="Arial"/>
                <w:b/>
                <w:szCs w:val="24"/>
              </w:rPr>
              <w:t>Lung Tissue</w:t>
            </w:r>
          </w:p>
        </w:tc>
        <w:tc>
          <w:tcPr>
            <w:tcW w:w="959" w:type="pct"/>
            <w:tcBorders>
              <w:top w:val="nil"/>
              <w:bottom w:val="single" w:sz="12" w:space="0" w:color="000000"/>
            </w:tcBorders>
            <w:shd w:val="clear" w:color="auto" w:fill="B8CCE4" w:themeFill="accent1" w:themeFillTint="66"/>
            <w:vAlign w:val="center"/>
          </w:tcPr>
          <w:p w14:paraId="6164A83C" w14:textId="77777777" w:rsidR="00B3721A" w:rsidRPr="001936E4" w:rsidRDefault="00B3721A" w:rsidP="00DB4C08">
            <w:pPr>
              <w:jc w:val="center"/>
              <w:rPr>
                <w:rFonts w:asciiTheme="minorHAnsi" w:hAnsiTheme="minorHAnsi" w:cs="Arial"/>
                <w:b/>
                <w:szCs w:val="24"/>
              </w:rPr>
            </w:pPr>
            <w:r>
              <w:rPr>
                <w:rFonts w:asciiTheme="minorHAnsi" w:hAnsiTheme="minorHAnsi" w:cs="Arial"/>
                <w:b/>
                <w:szCs w:val="24"/>
              </w:rPr>
              <w:t>Serum</w:t>
            </w:r>
          </w:p>
        </w:tc>
        <w:tc>
          <w:tcPr>
            <w:tcW w:w="2190" w:type="pct"/>
            <w:vMerge/>
            <w:tcBorders>
              <w:bottom w:val="single" w:sz="12" w:space="0" w:color="000000"/>
              <w:right w:val="nil"/>
            </w:tcBorders>
            <w:shd w:val="clear" w:color="auto" w:fill="B8CCE4" w:themeFill="accent1" w:themeFillTint="66"/>
            <w:vAlign w:val="center"/>
          </w:tcPr>
          <w:p w14:paraId="6D96FC42" w14:textId="77777777" w:rsidR="00B3721A" w:rsidRPr="001936E4" w:rsidRDefault="00B3721A" w:rsidP="00DB4C08">
            <w:pPr>
              <w:jc w:val="center"/>
              <w:rPr>
                <w:rFonts w:asciiTheme="minorHAnsi" w:hAnsiTheme="minorHAnsi" w:cs="Arial"/>
                <w:b/>
                <w:szCs w:val="24"/>
              </w:rPr>
            </w:pPr>
          </w:p>
        </w:tc>
      </w:tr>
      <w:tr w:rsidR="003F242A" w:rsidRPr="0011278D" w14:paraId="31E90A2B" w14:textId="77777777" w:rsidTr="00B3721A">
        <w:trPr>
          <w:trHeight w:val="476"/>
          <w:jc w:val="center"/>
        </w:trPr>
        <w:tc>
          <w:tcPr>
            <w:tcW w:w="892" w:type="pct"/>
            <w:tcBorders>
              <w:top w:val="single" w:sz="12" w:space="0" w:color="000000"/>
              <w:left w:val="nil"/>
            </w:tcBorders>
            <w:vAlign w:val="center"/>
          </w:tcPr>
          <w:p w14:paraId="5B147D16" w14:textId="77777777" w:rsidR="003F242A" w:rsidRPr="003F242A" w:rsidRDefault="003F242A">
            <w:pPr>
              <w:jc w:val="center"/>
              <w:rPr>
                <w:rFonts w:asciiTheme="minorHAnsi" w:hAnsiTheme="minorHAnsi" w:cstheme="minorHAnsi"/>
              </w:rPr>
            </w:pPr>
            <w:r w:rsidRPr="003F242A">
              <w:rPr>
                <w:rFonts w:asciiTheme="minorHAnsi" w:hAnsiTheme="minorHAnsi" w:cstheme="minorHAnsi"/>
              </w:rPr>
              <w:t>H</w:t>
            </w:r>
            <w:r w:rsidRPr="006A7D98">
              <w:rPr>
                <w:rFonts w:asciiTheme="minorHAnsi" w:hAnsiTheme="minorHAnsi" w:cstheme="minorHAnsi"/>
                <w:vertAlign w:val="subscript"/>
              </w:rPr>
              <w:t>2</w:t>
            </w:r>
            <w:r w:rsidRPr="003F242A">
              <w:rPr>
                <w:rFonts w:asciiTheme="minorHAnsi" w:hAnsiTheme="minorHAnsi" w:cstheme="minorHAnsi"/>
              </w:rPr>
              <w:t>O</w:t>
            </w:r>
            <w:r w:rsidR="005C5BBD">
              <w:rPr>
                <w:rFonts w:asciiTheme="minorHAnsi" w:hAnsiTheme="minorHAnsi" w:cstheme="minorHAnsi"/>
              </w:rPr>
              <w:t xml:space="preserve"> Air</w:t>
            </w:r>
          </w:p>
        </w:tc>
        <w:tc>
          <w:tcPr>
            <w:tcW w:w="959" w:type="pct"/>
            <w:tcBorders>
              <w:top w:val="single" w:sz="12" w:space="0" w:color="000000"/>
            </w:tcBorders>
            <w:vAlign w:val="center"/>
          </w:tcPr>
          <w:p w14:paraId="3C0F9F3E" w14:textId="77777777" w:rsidR="003F242A" w:rsidRPr="001936E4" w:rsidRDefault="003F242A" w:rsidP="00DB4C08">
            <w:pPr>
              <w:jc w:val="center"/>
              <w:rPr>
                <w:rFonts w:asciiTheme="minorHAnsi" w:hAnsiTheme="minorHAnsi" w:cs="Arial"/>
              </w:rPr>
            </w:pPr>
            <w:r>
              <w:rPr>
                <w:rFonts w:asciiTheme="minorHAnsi" w:hAnsiTheme="minorHAnsi" w:cs="Arial"/>
              </w:rPr>
              <w:t>8</w:t>
            </w:r>
          </w:p>
        </w:tc>
        <w:tc>
          <w:tcPr>
            <w:tcW w:w="959" w:type="pct"/>
            <w:tcBorders>
              <w:top w:val="single" w:sz="12" w:space="0" w:color="000000"/>
            </w:tcBorders>
            <w:vAlign w:val="center"/>
          </w:tcPr>
          <w:p w14:paraId="3E5CD6BB" w14:textId="77777777" w:rsidR="003F242A" w:rsidRPr="001936E4" w:rsidRDefault="003F242A" w:rsidP="00DB4C08">
            <w:pPr>
              <w:jc w:val="center"/>
              <w:rPr>
                <w:rFonts w:asciiTheme="minorHAnsi" w:hAnsiTheme="minorHAnsi" w:cs="Arial"/>
              </w:rPr>
            </w:pPr>
            <w:r>
              <w:rPr>
                <w:rFonts w:asciiTheme="minorHAnsi" w:hAnsiTheme="minorHAnsi" w:cs="Arial"/>
              </w:rPr>
              <w:t>8</w:t>
            </w:r>
          </w:p>
        </w:tc>
        <w:tc>
          <w:tcPr>
            <w:tcW w:w="2190" w:type="pct"/>
            <w:tcBorders>
              <w:top w:val="single" w:sz="12" w:space="0" w:color="000000"/>
              <w:right w:val="nil"/>
            </w:tcBorders>
            <w:vAlign w:val="center"/>
          </w:tcPr>
          <w:p w14:paraId="0AA6892C" w14:textId="77777777" w:rsidR="003F242A" w:rsidRPr="001936E4" w:rsidRDefault="00242382" w:rsidP="00242382">
            <w:pPr>
              <w:jc w:val="center"/>
              <w:rPr>
                <w:rFonts w:asciiTheme="minorHAnsi" w:hAnsiTheme="minorHAnsi" w:cs="Arial"/>
              </w:rPr>
            </w:pPr>
            <w:r>
              <w:rPr>
                <w:rFonts w:asciiTheme="minorHAnsi" w:hAnsiTheme="minorHAnsi" w:cs="Arial"/>
              </w:rPr>
              <w:t>Water treated, air exposed</w:t>
            </w:r>
          </w:p>
        </w:tc>
      </w:tr>
      <w:tr w:rsidR="003F242A" w:rsidRPr="0011278D" w14:paraId="1EDCE61C" w14:textId="77777777" w:rsidTr="00B3721A">
        <w:trPr>
          <w:trHeight w:val="476"/>
          <w:jc w:val="center"/>
        </w:trPr>
        <w:tc>
          <w:tcPr>
            <w:tcW w:w="892" w:type="pct"/>
            <w:tcBorders>
              <w:left w:val="nil"/>
              <w:bottom w:val="single" w:sz="4" w:space="0" w:color="000000"/>
            </w:tcBorders>
            <w:vAlign w:val="center"/>
          </w:tcPr>
          <w:p w14:paraId="5437DB67" w14:textId="77777777" w:rsidR="003F242A" w:rsidRPr="003F242A" w:rsidRDefault="003F242A">
            <w:pPr>
              <w:jc w:val="center"/>
              <w:rPr>
                <w:rFonts w:asciiTheme="minorHAnsi" w:hAnsiTheme="minorHAnsi" w:cstheme="minorHAnsi"/>
              </w:rPr>
            </w:pPr>
            <w:r w:rsidRPr="003F242A">
              <w:rPr>
                <w:rFonts w:asciiTheme="minorHAnsi" w:hAnsiTheme="minorHAnsi" w:cstheme="minorHAnsi"/>
              </w:rPr>
              <w:t>Abx</w:t>
            </w:r>
            <w:r w:rsidR="005C5BBD">
              <w:rPr>
                <w:rFonts w:asciiTheme="minorHAnsi" w:hAnsiTheme="minorHAnsi" w:cstheme="minorHAnsi"/>
              </w:rPr>
              <w:t xml:space="preserve"> Air</w:t>
            </w:r>
          </w:p>
        </w:tc>
        <w:tc>
          <w:tcPr>
            <w:tcW w:w="959" w:type="pct"/>
            <w:tcBorders>
              <w:bottom w:val="single" w:sz="4" w:space="0" w:color="000000"/>
            </w:tcBorders>
            <w:vAlign w:val="center"/>
          </w:tcPr>
          <w:p w14:paraId="7DE8D8B4" w14:textId="77777777" w:rsidR="003F242A" w:rsidRPr="001936E4" w:rsidRDefault="003F242A" w:rsidP="00DB4C08">
            <w:pPr>
              <w:jc w:val="center"/>
              <w:rPr>
                <w:rFonts w:asciiTheme="minorHAnsi" w:hAnsiTheme="minorHAnsi" w:cs="Arial"/>
              </w:rPr>
            </w:pPr>
            <w:r>
              <w:rPr>
                <w:rFonts w:asciiTheme="minorHAnsi" w:hAnsiTheme="minorHAnsi" w:cs="Arial"/>
              </w:rPr>
              <w:t>8</w:t>
            </w:r>
          </w:p>
        </w:tc>
        <w:tc>
          <w:tcPr>
            <w:tcW w:w="959" w:type="pct"/>
            <w:tcBorders>
              <w:bottom w:val="single" w:sz="4" w:space="0" w:color="000000"/>
            </w:tcBorders>
            <w:vAlign w:val="center"/>
          </w:tcPr>
          <w:p w14:paraId="68CE6CDF" w14:textId="77777777" w:rsidR="003F242A" w:rsidRPr="001936E4" w:rsidRDefault="003F242A" w:rsidP="00DB4C08">
            <w:pPr>
              <w:jc w:val="center"/>
              <w:rPr>
                <w:rFonts w:asciiTheme="minorHAnsi" w:hAnsiTheme="minorHAnsi" w:cs="Arial"/>
              </w:rPr>
            </w:pPr>
            <w:r>
              <w:rPr>
                <w:rFonts w:asciiTheme="minorHAnsi" w:hAnsiTheme="minorHAnsi" w:cs="Arial"/>
              </w:rPr>
              <w:t>8</w:t>
            </w:r>
          </w:p>
        </w:tc>
        <w:tc>
          <w:tcPr>
            <w:tcW w:w="2190" w:type="pct"/>
            <w:tcBorders>
              <w:bottom w:val="single" w:sz="4" w:space="0" w:color="000000"/>
              <w:right w:val="nil"/>
            </w:tcBorders>
            <w:vAlign w:val="center"/>
          </w:tcPr>
          <w:p w14:paraId="52338E0A" w14:textId="77777777" w:rsidR="003F242A" w:rsidRPr="001936E4" w:rsidRDefault="00242382" w:rsidP="00242382">
            <w:pPr>
              <w:jc w:val="center"/>
              <w:rPr>
                <w:rFonts w:asciiTheme="minorHAnsi" w:hAnsiTheme="minorHAnsi" w:cs="Arial"/>
              </w:rPr>
            </w:pPr>
            <w:r>
              <w:rPr>
                <w:rFonts w:asciiTheme="minorHAnsi" w:hAnsiTheme="minorHAnsi" w:cs="Arial"/>
              </w:rPr>
              <w:t>Antibiotic treated, air exposed</w:t>
            </w:r>
          </w:p>
        </w:tc>
      </w:tr>
      <w:tr w:rsidR="00242382" w:rsidRPr="0011278D" w14:paraId="5311D8DE" w14:textId="77777777" w:rsidTr="00B3721A">
        <w:trPr>
          <w:trHeight w:val="476"/>
          <w:jc w:val="center"/>
        </w:trPr>
        <w:tc>
          <w:tcPr>
            <w:tcW w:w="892" w:type="pct"/>
            <w:tcBorders>
              <w:left w:val="nil"/>
              <w:bottom w:val="single" w:sz="4" w:space="0" w:color="000000"/>
            </w:tcBorders>
            <w:vAlign w:val="center"/>
          </w:tcPr>
          <w:p w14:paraId="1B7476CC" w14:textId="77777777" w:rsidR="00242382" w:rsidRPr="003F242A" w:rsidRDefault="00242382">
            <w:pPr>
              <w:jc w:val="center"/>
              <w:rPr>
                <w:rFonts w:asciiTheme="minorHAnsi" w:hAnsiTheme="minorHAnsi" w:cstheme="minorHAnsi"/>
              </w:rPr>
            </w:pPr>
            <w:r w:rsidRPr="003F242A">
              <w:rPr>
                <w:rFonts w:asciiTheme="minorHAnsi" w:hAnsiTheme="minorHAnsi" w:cstheme="minorHAnsi"/>
              </w:rPr>
              <w:t>H</w:t>
            </w:r>
            <w:r w:rsidRPr="006A7D98">
              <w:rPr>
                <w:rFonts w:asciiTheme="minorHAnsi" w:hAnsiTheme="minorHAnsi" w:cstheme="minorHAnsi"/>
                <w:vertAlign w:val="subscript"/>
              </w:rPr>
              <w:t>2</w:t>
            </w:r>
            <w:r w:rsidRPr="003F242A">
              <w:rPr>
                <w:rFonts w:asciiTheme="minorHAnsi" w:hAnsiTheme="minorHAnsi" w:cstheme="minorHAnsi"/>
              </w:rPr>
              <w:t>O</w:t>
            </w:r>
            <w:r>
              <w:rPr>
                <w:rFonts w:asciiTheme="minorHAnsi" w:hAnsiTheme="minorHAnsi" w:cstheme="minorHAnsi"/>
              </w:rPr>
              <w:t xml:space="preserve"> Ozone</w:t>
            </w:r>
          </w:p>
        </w:tc>
        <w:tc>
          <w:tcPr>
            <w:tcW w:w="959" w:type="pct"/>
            <w:tcBorders>
              <w:bottom w:val="single" w:sz="4" w:space="0" w:color="000000"/>
            </w:tcBorders>
            <w:vAlign w:val="center"/>
          </w:tcPr>
          <w:p w14:paraId="5DFE338B" w14:textId="77777777" w:rsidR="00242382" w:rsidRPr="001936E4" w:rsidRDefault="00242382" w:rsidP="00DB4C08">
            <w:pPr>
              <w:jc w:val="center"/>
              <w:rPr>
                <w:rFonts w:asciiTheme="minorHAnsi" w:hAnsiTheme="minorHAnsi" w:cs="Arial"/>
              </w:rPr>
            </w:pPr>
            <w:r>
              <w:rPr>
                <w:rFonts w:asciiTheme="minorHAnsi" w:hAnsiTheme="minorHAnsi" w:cs="Arial"/>
              </w:rPr>
              <w:t>8</w:t>
            </w:r>
          </w:p>
        </w:tc>
        <w:tc>
          <w:tcPr>
            <w:tcW w:w="959" w:type="pct"/>
            <w:tcBorders>
              <w:bottom w:val="single" w:sz="4" w:space="0" w:color="000000"/>
            </w:tcBorders>
            <w:vAlign w:val="center"/>
          </w:tcPr>
          <w:p w14:paraId="7C0C479D" w14:textId="77777777" w:rsidR="00242382" w:rsidRPr="001936E4" w:rsidRDefault="00242382" w:rsidP="00DB4C08">
            <w:pPr>
              <w:jc w:val="center"/>
              <w:rPr>
                <w:rFonts w:asciiTheme="minorHAnsi" w:hAnsiTheme="minorHAnsi" w:cs="Arial"/>
              </w:rPr>
            </w:pPr>
            <w:r>
              <w:rPr>
                <w:rFonts w:asciiTheme="minorHAnsi" w:hAnsiTheme="minorHAnsi" w:cs="Arial"/>
              </w:rPr>
              <w:t>8</w:t>
            </w:r>
          </w:p>
        </w:tc>
        <w:tc>
          <w:tcPr>
            <w:tcW w:w="2190" w:type="pct"/>
            <w:tcBorders>
              <w:bottom w:val="single" w:sz="4" w:space="0" w:color="000000"/>
              <w:right w:val="nil"/>
            </w:tcBorders>
            <w:vAlign w:val="center"/>
          </w:tcPr>
          <w:p w14:paraId="7E24565B" w14:textId="77777777" w:rsidR="00242382" w:rsidRPr="001936E4" w:rsidRDefault="00242382" w:rsidP="00242382">
            <w:pPr>
              <w:jc w:val="center"/>
              <w:rPr>
                <w:rFonts w:asciiTheme="minorHAnsi" w:hAnsiTheme="minorHAnsi" w:cs="Arial"/>
              </w:rPr>
            </w:pPr>
            <w:r>
              <w:rPr>
                <w:rFonts w:asciiTheme="minorHAnsi" w:hAnsiTheme="minorHAnsi" w:cs="Arial"/>
              </w:rPr>
              <w:t>Water treated, ozone exposed</w:t>
            </w:r>
          </w:p>
        </w:tc>
      </w:tr>
      <w:tr w:rsidR="00242382" w:rsidRPr="0011278D" w14:paraId="3B5119A9" w14:textId="77777777" w:rsidTr="00B3721A">
        <w:trPr>
          <w:trHeight w:val="476"/>
          <w:jc w:val="center"/>
        </w:trPr>
        <w:tc>
          <w:tcPr>
            <w:tcW w:w="892" w:type="pct"/>
            <w:tcBorders>
              <w:left w:val="nil"/>
              <w:bottom w:val="single" w:sz="12" w:space="0" w:color="000000"/>
            </w:tcBorders>
            <w:vAlign w:val="center"/>
          </w:tcPr>
          <w:p w14:paraId="6EB9A792" w14:textId="77777777" w:rsidR="00242382" w:rsidRPr="003F242A" w:rsidRDefault="00242382">
            <w:pPr>
              <w:jc w:val="center"/>
              <w:rPr>
                <w:rFonts w:asciiTheme="minorHAnsi" w:hAnsiTheme="minorHAnsi" w:cstheme="minorHAnsi"/>
              </w:rPr>
            </w:pPr>
            <w:r w:rsidRPr="003F242A">
              <w:rPr>
                <w:rFonts w:asciiTheme="minorHAnsi" w:hAnsiTheme="minorHAnsi" w:cstheme="minorHAnsi"/>
              </w:rPr>
              <w:t>Abx</w:t>
            </w:r>
            <w:r>
              <w:rPr>
                <w:rFonts w:asciiTheme="minorHAnsi" w:hAnsiTheme="minorHAnsi" w:cstheme="minorHAnsi"/>
              </w:rPr>
              <w:t xml:space="preserve"> Ozone</w:t>
            </w:r>
          </w:p>
        </w:tc>
        <w:tc>
          <w:tcPr>
            <w:tcW w:w="959" w:type="pct"/>
            <w:tcBorders>
              <w:bottom w:val="single" w:sz="12" w:space="0" w:color="000000"/>
            </w:tcBorders>
            <w:vAlign w:val="center"/>
          </w:tcPr>
          <w:p w14:paraId="635E6D98" w14:textId="77777777" w:rsidR="00242382" w:rsidRPr="001936E4" w:rsidRDefault="00242382" w:rsidP="00DB4C08">
            <w:pPr>
              <w:jc w:val="center"/>
              <w:rPr>
                <w:rFonts w:asciiTheme="minorHAnsi" w:hAnsiTheme="minorHAnsi" w:cs="Arial"/>
              </w:rPr>
            </w:pPr>
            <w:r>
              <w:rPr>
                <w:rFonts w:asciiTheme="minorHAnsi" w:hAnsiTheme="minorHAnsi" w:cs="Arial"/>
              </w:rPr>
              <w:t>8</w:t>
            </w:r>
          </w:p>
        </w:tc>
        <w:tc>
          <w:tcPr>
            <w:tcW w:w="959" w:type="pct"/>
            <w:tcBorders>
              <w:bottom w:val="single" w:sz="12" w:space="0" w:color="000000"/>
            </w:tcBorders>
            <w:vAlign w:val="center"/>
          </w:tcPr>
          <w:p w14:paraId="389F4D3D" w14:textId="77777777" w:rsidR="00242382" w:rsidRPr="001936E4" w:rsidRDefault="00242382" w:rsidP="00DB4C08">
            <w:pPr>
              <w:jc w:val="center"/>
              <w:rPr>
                <w:rFonts w:asciiTheme="minorHAnsi" w:hAnsiTheme="minorHAnsi" w:cs="Arial"/>
              </w:rPr>
            </w:pPr>
            <w:r>
              <w:rPr>
                <w:rFonts w:asciiTheme="minorHAnsi" w:hAnsiTheme="minorHAnsi" w:cs="Arial"/>
              </w:rPr>
              <w:t>8</w:t>
            </w:r>
          </w:p>
        </w:tc>
        <w:tc>
          <w:tcPr>
            <w:tcW w:w="2190" w:type="pct"/>
            <w:tcBorders>
              <w:bottom w:val="single" w:sz="12" w:space="0" w:color="000000"/>
              <w:right w:val="nil"/>
            </w:tcBorders>
            <w:vAlign w:val="center"/>
          </w:tcPr>
          <w:p w14:paraId="52630203" w14:textId="77777777" w:rsidR="00242382" w:rsidRPr="001936E4" w:rsidRDefault="00242382" w:rsidP="00B3721A">
            <w:pPr>
              <w:jc w:val="center"/>
              <w:rPr>
                <w:rFonts w:asciiTheme="minorHAnsi" w:hAnsiTheme="minorHAnsi" w:cs="Arial"/>
              </w:rPr>
            </w:pPr>
            <w:r>
              <w:rPr>
                <w:rFonts w:asciiTheme="minorHAnsi" w:hAnsiTheme="minorHAnsi" w:cs="Arial"/>
              </w:rPr>
              <w:t>Antibiotic treated, ozone exposed</w:t>
            </w:r>
          </w:p>
        </w:tc>
      </w:tr>
    </w:tbl>
    <w:p w14:paraId="315249CD" w14:textId="77777777" w:rsidR="004146CE" w:rsidRPr="00D45713" w:rsidRDefault="004146CE" w:rsidP="001A6645">
      <w:pPr>
        <w:pStyle w:val="Heading1"/>
        <w:spacing w:before="480" w:after="480"/>
        <w:rPr>
          <w:rFonts w:asciiTheme="minorHAnsi" w:hAnsiTheme="minorHAnsi" w:cstheme="minorHAnsi"/>
          <w:b/>
          <w:sz w:val="28"/>
          <w:szCs w:val="28"/>
        </w:rPr>
      </w:pPr>
      <w:bookmarkStart w:id="7" w:name="_Toc384307545"/>
      <w:bookmarkStart w:id="8" w:name="_Toc414973048"/>
      <w:r w:rsidRPr="00D45713">
        <w:rPr>
          <w:rFonts w:asciiTheme="minorHAnsi" w:hAnsiTheme="minorHAnsi" w:cstheme="minorHAnsi"/>
          <w:b/>
          <w:sz w:val="28"/>
          <w:szCs w:val="28"/>
        </w:rPr>
        <w:t>Results and Biological Interpretation</w:t>
      </w:r>
      <w:bookmarkEnd w:id="7"/>
      <w:bookmarkEnd w:id="8"/>
    </w:p>
    <w:p w14:paraId="3CE61C68" w14:textId="77777777" w:rsidR="004146CE" w:rsidRPr="00A516E7" w:rsidRDefault="004146CE" w:rsidP="00A516E7">
      <w:pPr>
        <w:pStyle w:val="Heading2"/>
      </w:pPr>
      <w:bookmarkStart w:id="9" w:name="_Toc384307546"/>
      <w:bookmarkStart w:id="10" w:name="_Toc414973049"/>
      <w:r w:rsidRPr="00A516E7">
        <w:t xml:space="preserve">Metabolite Summary and Significantly Altered </w:t>
      </w:r>
      <w:bookmarkEnd w:id="9"/>
      <w:r w:rsidR="00A6487D" w:rsidRPr="00A516E7">
        <w:t>Biochemicals</w:t>
      </w:r>
      <w:bookmarkEnd w:id="10"/>
    </w:p>
    <w:p w14:paraId="62DCA0F0" w14:textId="77777777" w:rsidR="00742F55" w:rsidRDefault="00742F55" w:rsidP="00742F55">
      <w:pPr>
        <w:spacing w:after="240"/>
        <w:jc w:val="both"/>
        <w:rPr>
          <w:rFonts w:asciiTheme="minorHAnsi" w:hAnsiTheme="minorHAnsi"/>
          <w:bCs/>
          <w:szCs w:val="24"/>
        </w:rPr>
      </w:pPr>
      <w:r w:rsidRPr="0024452E">
        <w:rPr>
          <w:rFonts w:asciiTheme="minorHAnsi" w:hAnsiTheme="minorHAnsi"/>
        </w:rPr>
        <w:t>The present dataset</w:t>
      </w:r>
      <w:r w:rsidR="002312AA">
        <w:rPr>
          <w:rFonts w:asciiTheme="minorHAnsi" w:hAnsiTheme="minorHAnsi"/>
        </w:rPr>
        <w:t>s comprise</w:t>
      </w:r>
      <w:r>
        <w:rPr>
          <w:rFonts w:asciiTheme="minorHAnsi" w:hAnsiTheme="minorHAnsi"/>
        </w:rPr>
        <w:t xml:space="preserve"> a total of </w:t>
      </w:r>
      <w:r w:rsidR="002312AA">
        <w:rPr>
          <w:rFonts w:asciiTheme="minorHAnsi" w:hAnsiTheme="minorHAnsi"/>
        </w:rPr>
        <w:t>499</w:t>
      </w:r>
      <w:r>
        <w:rPr>
          <w:rFonts w:asciiTheme="minorHAnsi" w:hAnsiTheme="minorHAnsi"/>
        </w:rPr>
        <w:t xml:space="preserve"> </w:t>
      </w:r>
      <w:r w:rsidRPr="0024452E">
        <w:rPr>
          <w:rFonts w:asciiTheme="minorHAnsi" w:hAnsiTheme="minorHAnsi"/>
        </w:rPr>
        <w:t xml:space="preserve">of </w:t>
      </w:r>
      <w:r w:rsidR="002312AA">
        <w:rPr>
          <w:rFonts w:asciiTheme="minorHAnsi" w:hAnsiTheme="minorHAnsi"/>
        </w:rPr>
        <w:t xml:space="preserve">named biochemicals (compounds of </w:t>
      </w:r>
      <w:r w:rsidRPr="0024452E">
        <w:rPr>
          <w:rFonts w:asciiTheme="minorHAnsi" w:hAnsiTheme="minorHAnsi"/>
        </w:rPr>
        <w:t>known identity</w:t>
      </w:r>
      <w:r w:rsidR="002312AA">
        <w:rPr>
          <w:rFonts w:asciiTheme="minorHAnsi" w:hAnsiTheme="minorHAnsi"/>
        </w:rPr>
        <w:t>)</w:t>
      </w:r>
      <w:r w:rsidRPr="0024452E">
        <w:rPr>
          <w:rFonts w:asciiTheme="minorHAnsi" w:hAnsiTheme="minorHAnsi"/>
        </w:rPr>
        <w:t xml:space="preserve"> </w:t>
      </w:r>
      <w:r w:rsidR="002312AA">
        <w:rPr>
          <w:rFonts w:asciiTheme="minorHAnsi" w:hAnsiTheme="minorHAnsi"/>
        </w:rPr>
        <w:t xml:space="preserve">in lung tissue and 562 </w:t>
      </w:r>
      <w:r w:rsidRPr="0024452E">
        <w:rPr>
          <w:rFonts w:asciiTheme="minorHAnsi" w:hAnsiTheme="minorHAnsi"/>
        </w:rPr>
        <w:t>named</w:t>
      </w:r>
      <w:r>
        <w:rPr>
          <w:rFonts w:asciiTheme="minorHAnsi" w:hAnsiTheme="minorHAnsi"/>
        </w:rPr>
        <w:t xml:space="preserve"> biochemicals</w:t>
      </w:r>
      <w:r w:rsidR="002312AA">
        <w:rPr>
          <w:rFonts w:asciiTheme="minorHAnsi" w:hAnsiTheme="minorHAnsi"/>
        </w:rPr>
        <w:t xml:space="preserve"> in serum</w:t>
      </w:r>
      <w:r>
        <w:rPr>
          <w:rFonts w:asciiTheme="minorHAnsi" w:hAnsiTheme="minorHAnsi"/>
        </w:rPr>
        <w:t xml:space="preserve">. </w:t>
      </w:r>
      <w:r w:rsidRPr="0024452E">
        <w:rPr>
          <w:rFonts w:asciiTheme="minorHAnsi" w:hAnsiTheme="minorHAnsi"/>
        </w:rPr>
        <w:t xml:space="preserve">Following log transformation and </w:t>
      </w:r>
      <w:r w:rsidRPr="002312AA">
        <w:rPr>
          <w:rFonts w:asciiTheme="minorHAnsi" w:hAnsiTheme="minorHAnsi"/>
        </w:rPr>
        <w:t xml:space="preserve">imputation of missing values, if any, with the minimum observed value for each compound, ANOVA contrasts were </w:t>
      </w:r>
      <w:r w:rsidRPr="002312AA">
        <w:rPr>
          <w:rFonts w:asciiTheme="minorHAnsi" w:hAnsiTheme="minorHAnsi"/>
          <w:bCs/>
          <w:szCs w:val="24"/>
        </w:rPr>
        <w:t xml:space="preserve">used to identify biochemicals that differed significantly </w:t>
      </w:r>
      <w:r w:rsidRPr="002312AA">
        <w:rPr>
          <w:rFonts w:asciiTheme="minorHAnsi" w:hAnsiTheme="minorHAnsi"/>
        </w:rPr>
        <w:t xml:space="preserve">between experimental groups.  </w:t>
      </w:r>
      <w:r w:rsidRPr="002312AA">
        <w:rPr>
          <w:rFonts w:asciiTheme="minorHAnsi" w:hAnsiTheme="minorHAnsi"/>
          <w:bCs/>
          <w:szCs w:val="24"/>
        </w:rPr>
        <w:t>A summary of the numbers of biochemicals that achieved statistical significance (</w:t>
      </w:r>
      <w:r w:rsidRPr="002312AA">
        <w:rPr>
          <w:rFonts w:asciiTheme="minorHAnsi" w:hAnsiTheme="minorHAnsi"/>
          <w:bCs/>
          <w:i/>
          <w:szCs w:val="24"/>
        </w:rPr>
        <w:t>p</w:t>
      </w:r>
      <w:r w:rsidRPr="002312AA">
        <w:rPr>
          <w:rFonts w:asciiTheme="minorHAnsi" w:hAnsiTheme="minorHAnsi"/>
          <w:bCs/>
          <w:szCs w:val="24"/>
        </w:rPr>
        <w:t>≤0.05), as well as those approaching significance (0.05&lt;</w:t>
      </w:r>
      <w:r w:rsidRPr="002312AA">
        <w:rPr>
          <w:rFonts w:asciiTheme="minorHAnsi" w:hAnsiTheme="minorHAnsi"/>
          <w:bCs/>
          <w:i/>
          <w:szCs w:val="24"/>
        </w:rPr>
        <w:t>p</w:t>
      </w:r>
      <w:r w:rsidRPr="002312AA">
        <w:rPr>
          <w:rFonts w:asciiTheme="minorHAnsi" w:hAnsiTheme="minorHAnsi"/>
          <w:bCs/>
          <w:szCs w:val="24"/>
        </w:rPr>
        <w:t xml:space="preserve">&lt;0.10), is shown below.  </w:t>
      </w:r>
      <w:r w:rsidR="00223A57" w:rsidRPr="002312AA">
        <w:rPr>
          <w:rFonts w:asciiTheme="minorHAnsi" w:hAnsiTheme="minorHAnsi"/>
          <w:bCs/>
          <w:szCs w:val="24"/>
        </w:rPr>
        <w:lastRenderedPageBreak/>
        <w:t xml:space="preserve">Analysis by two-way ANOVA identified biochemicals exhibiting significant interaction and main effects for experimental parameters of </w:t>
      </w:r>
      <w:r w:rsidR="002312AA" w:rsidRPr="002312AA">
        <w:rPr>
          <w:rFonts w:asciiTheme="minorHAnsi" w:hAnsiTheme="minorHAnsi"/>
          <w:bCs/>
          <w:szCs w:val="24"/>
        </w:rPr>
        <w:t xml:space="preserve">ozone exposure </w:t>
      </w:r>
      <w:r w:rsidR="00223A57" w:rsidRPr="002312AA">
        <w:rPr>
          <w:rFonts w:asciiTheme="minorHAnsi" w:hAnsiTheme="minorHAnsi"/>
          <w:bCs/>
          <w:szCs w:val="24"/>
        </w:rPr>
        <w:t xml:space="preserve">and </w:t>
      </w:r>
      <w:r w:rsidR="002312AA" w:rsidRPr="002312AA">
        <w:rPr>
          <w:rFonts w:asciiTheme="minorHAnsi" w:hAnsiTheme="minorHAnsi"/>
          <w:bCs/>
          <w:szCs w:val="24"/>
        </w:rPr>
        <w:t>antibiotic treatment</w:t>
      </w:r>
      <w:r w:rsidR="00223A57" w:rsidRPr="002312AA">
        <w:rPr>
          <w:rFonts w:asciiTheme="minorHAnsi" w:hAnsiTheme="minorHAnsi"/>
          <w:bCs/>
          <w:szCs w:val="24"/>
        </w:rPr>
        <w:t>.</w:t>
      </w:r>
    </w:p>
    <w:p w14:paraId="45170B40" w14:textId="77777777" w:rsidR="0005718D" w:rsidRDefault="00D80C7B" w:rsidP="00C53B40">
      <w:pPr>
        <w:spacing w:after="360"/>
        <w:jc w:val="both"/>
        <w:rPr>
          <w:rFonts w:asciiTheme="minorHAnsi" w:hAnsiTheme="minorHAnsi"/>
          <w:bCs/>
          <w:szCs w:val="24"/>
        </w:rPr>
      </w:pPr>
      <w:r w:rsidRPr="0015547B">
        <w:rPr>
          <w:rFonts w:asciiTheme="minorHAnsi" w:hAnsiTheme="minorHAnsi"/>
          <w:bCs/>
          <w:szCs w:val="24"/>
        </w:rPr>
        <w:t>An estimate of the false discovery rate (</w:t>
      </w:r>
      <w:r w:rsidRPr="00D80C7B">
        <w:rPr>
          <w:rFonts w:asciiTheme="minorHAnsi" w:hAnsiTheme="minorHAnsi"/>
          <w:bCs/>
          <w:i/>
          <w:szCs w:val="24"/>
        </w:rPr>
        <w:t>q</w:t>
      </w:r>
      <w:r w:rsidRPr="0015547B">
        <w:rPr>
          <w:rFonts w:asciiTheme="minorHAnsi" w:hAnsiTheme="minorHAnsi"/>
          <w:bCs/>
          <w:szCs w:val="24"/>
        </w:rPr>
        <w:t>-value) is calculated to take into account the multiple comparisons that normally occur in metabolomic-based studies</w:t>
      </w:r>
      <w:r>
        <w:rPr>
          <w:rFonts w:asciiTheme="minorHAnsi" w:hAnsiTheme="minorHAnsi"/>
          <w:bCs/>
          <w:szCs w:val="24"/>
        </w:rPr>
        <w:t>.  For example, w</w:t>
      </w:r>
      <w:r w:rsidRPr="0024452E">
        <w:rPr>
          <w:rFonts w:asciiTheme="minorHAnsi" w:hAnsiTheme="minorHAnsi"/>
          <w:bCs/>
          <w:szCs w:val="24"/>
        </w:rPr>
        <w:t xml:space="preserve">hen analyzing </w:t>
      </w:r>
      <w:r>
        <w:rPr>
          <w:rFonts w:asciiTheme="minorHAnsi" w:hAnsiTheme="minorHAnsi"/>
          <w:bCs/>
          <w:szCs w:val="24"/>
        </w:rPr>
        <w:t xml:space="preserve">200 </w:t>
      </w:r>
      <w:r w:rsidRPr="0024452E">
        <w:rPr>
          <w:rFonts w:asciiTheme="minorHAnsi" w:hAnsiTheme="minorHAnsi"/>
          <w:bCs/>
          <w:szCs w:val="24"/>
        </w:rPr>
        <w:t>compounds, we would expect to see</w:t>
      </w:r>
      <w:r>
        <w:rPr>
          <w:rFonts w:asciiTheme="minorHAnsi" w:hAnsiTheme="minorHAnsi"/>
          <w:bCs/>
          <w:szCs w:val="24"/>
        </w:rPr>
        <w:t xml:space="preserve"> about</w:t>
      </w:r>
      <w:r w:rsidRPr="0024452E">
        <w:rPr>
          <w:rFonts w:asciiTheme="minorHAnsi" w:hAnsiTheme="minorHAnsi"/>
          <w:bCs/>
          <w:szCs w:val="24"/>
        </w:rPr>
        <w:t xml:space="preserve"> </w:t>
      </w:r>
      <w:r>
        <w:rPr>
          <w:rFonts w:asciiTheme="minorHAnsi" w:hAnsiTheme="minorHAnsi"/>
          <w:bCs/>
          <w:szCs w:val="24"/>
        </w:rPr>
        <w:t xml:space="preserve">10 </w:t>
      </w:r>
      <w:r w:rsidRPr="0024452E">
        <w:rPr>
          <w:rFonts w:asciiTheme="minorHAnsi" w:hAnsiTheme="minorHAnsi"/>
          <w:bCs/>
          <w:szCs w:val="24"/>
        </w:rPr>
        <w:t xml:space="preserve">compounds meeting the </w:t>
      </w:r>
      <w:r w:rsidRPr="0015547B">
        <w:rPr>
          <w:rFonts w:asciiTheme="minorHAnsi" w:hAnsiTheme="minorHAnsi"/>
          <w:bCs/>
          <w:i/>
          <w:szCs w:val="24"/>
        </w:rPr>
        <w:t>p</w:t>
      </w:r>
      <w:r w:rsidRPr="0024452E">
        <w:rPr>
          <w:rFonts w:asciiTheme="minorHAnsi" w:hAnsiTheme="minorHAnsi"/>
          <w:bCs/>
          <w:szCs w:val="24"/>
        </w:rPr>
        <w:t>≤0.05 cut-off by random chance</w:t>
      </w:r>
      <w:r w:rsidRPr="00BA1322">
        <w:rPr>
          <w:rFonts w:asciiTheme="minorHAnsi" w:hAnsiTheme="minorHAnsi"/>
          <w:bCs/>
          <w:szCs w:val="24"/>
        </w:rPr>
        <w:t xml:space="preserve">.  </w:t>
      </w:r>
      <w:r w:rsidRPr="00BA1322">
        <w:rPr>
          <w:rFonts w:asciiTheme="minorHAnsi" w:hAnsiTheme="minorHAnsi"/>
        </w:rPr>
        <w:t xml:space="preserve">The </w:t>
      </w:r>
      <w:r w:rsidRPr="00BA1322">
        <w:rPr>
          <w:rFonts w:asciiTheme="minorHAnsi" w:hAnsiTheme="minorHAnsi"/>
          <w:i/>
        </w:rPr>
        <w:t>q</w:t>
      </w:r>
      <w:r w:rsidRPr="00BA1322">
        <w:rPr>
          <w:rFonts w:asciiTheme="minorHAnsi" w:hAnsiTheme="minorHAnsi"/>
        </w:rPr>
        <w:t xml:space="preserve">-value describes the false discovery rate; a low </w:t>
      </w:r>
      <w:r w:rsidRPr="00BA1322">
        <w:rPr>
          <w:rFonts w:asciiTheme="minorHAnsi" w:hAnsiTheme="minorHAnsi"/>
          <w:i/>
        </w:rPr>
        <w:t>q</w:t>
      </w:r>
      <w:r w:rsidRPr="00BA1322">
        <w:rPr>
          <w:rFonts w:asciiTheme="minorHAnsi" w:hAnsiTheme="minorHAnsi"/>
        </w:rPr>
        <w:t>-value (</w:t>
      </w:r>
      <w:r w:rsidRPr="00BA1322">
        <w:rPr>
          <w:rFonts w:asciiTheme="minorHAnsi" w:hAnsiTheme="minorHAnsi"/>
          <w:i/>
        </w:rPr>
        <w:t>q</w:t>
      </w:r>
      <w:r w:rsidRPr="00BA1322">
        <w:rPr>
          <w:rFonts w:asciiTheme="minorHAnsi" w:hAnsiTheme="minorHAnsi"/>
        </w:rPr>
        <w:t xml:space="preserve">&lt;0.10) is an indication of high confidence in a result.  While a higher </w:t>
      </w:r>
      <w:r w:rsidRPr="00BA1322">
        <w:rPr>
          <w:rFonts w:asciiTheme="minorHAnsi" w:hAnsiTheme="minorHAnsi"/>
          <w:i/>
        </w:rPr>
        <w:t>q</w:t>
      </w:r>
      <w:r w:rsidRPr="00BA1322">
        <w:rPr>
          <w:rFonts w:asciiTheme="minorHAnsi" w:hAnsiTheme="minorHAnsi"/>
        </w:rPr>
        <w:t>-value indicates diminished confidence, it does not necessarily rule out the significance of a result. Other lines of evidence may be taken into consideration when determining whether a result merits further scrutiny.  Such evidence may include a) significance in another dimension of the study, b) inclusion in a common pathway with a highly significant compound, or c) residing in a similar functional biochemical family with other significant compounds.</w:t>
      </w:r>
      <w:r>
        <w:rPr>
          <w:rFonts w:asciiTheme="minorHAnsi" w:hAnsiTheme="minorHAnsi"/>
        </w:rPr>
        <w:t xml:space="preserve">  </w:t>
      </w:r>
      <w:r w:rsidRPr="00B14963">
        <w:rPr>
          <w:rFonts w:asciiTheme="minorHAnsi" w:hAnsiTheme="minorHAnsi"/>
          <w:bCs/>
          <w:szCs w:val="24"/>
        </w:rPr>
        <w:t xml:space="preserve">Refer to </w:t>
      </w:r>
      <w:r w:rsidR="00304284" w:rsidRPr="00B14963">
        <w:rPr>
          <w:rFonts w:asciiTheme="minorHAnsi" w:hAnsiTheme="minorHAnsi"/>
          <w:bCs/>
          <w:szCs w:val="24"/>
        </w:rPr>
        <w:t>APPENDIX for</w:t>
      </w:r>
      <w:r w:rsidRPr="00B14963">
        <w:rPr>
          <w:rFonts w:asciiTheme="minorHAnsi" w:hAnsiTheme="minorHAnsi"/>
          <w:bCs/>
          <w:szCs w:val="24"/>
        </w:rPr>
        <w:t xml:space="preserve"> general definitions and further descriptions of false discovery</w:t>
      </w:r>
      <w:r>
        <w:rPr>
          <w:rFonts w:asciiTheme="minorHAnsi" w:hAnsiTheme="minorHAnsi"/>
          <w:bCs/>
          <w:szCs w:val="24"/>
        </w:rPr>
        <w:t xml:space="preserve"> rate and other </w:t>
      </w:r>
      <w:r w:rsidRPr="0024452E">
        <w:rPr>
          <w:rFonts w:asciiTheme="minorHAnsi" w:hAnsiTheme="minorHAnsi"/>
          <w:bCs/>
          <w:szCs w:val="24"/>
        </w:rPr>
        <w:t>statistical tests used at Metabolon.</w:t>
      </w:r>
    </w:p>
    <w:p w14:paraId="20177DF4" w14:textId="77777777" w:rsidR="00C53B40" w:rsidRDefault="005C5BBD" w:rsidP="00C53B40">
      <w:pPr>
        <w:jc w:val="center"/>
        <w:rPr>
          <w:rFonts w:asciiTheme="minorHAnsi" w:hAnsiTheme="minorHAnsi"/>
          <w:bCs/>
          <w:szCs w:val="24"/>
        </w:rPr>
      </w:pPr>
      <w:r w:rsidRPr="005C5BBD">
        <w:rPr>
          <w:noProof/>
          <w:szCs w:val="24"/>
        </w:rPr>
        <w:drawing>
          <wp:inline distT="0" distB="0" distL="0" distR="0" wp14:anchorId="4E6DE15E" wp14:editId="686BA0B2">
            <wp:extent cx="4468150" cy="4938949"/>
            <wp:effectExtent l="19050" t="0" r="8600" b="0"/>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4468150" cy="4938949"/>
                    </a:xfrm>
                    <a:prstGeom prst="rect">
                      <a:avLst/>
                    </a:prstGeom>
                    <a:noFill/>
                    <a:ln w="9525">
                      <a:noFill/>
                      <a:miter lim="800000"/>
                      <a:headEnd/>
                      <a:tailEnd/>
                    </a:ln>
                  </pic:spPr>
                </pic:pic>
              </a:graphicData>
            </a:graphic>
          </wp:inline>
        </w:drawing>
      </w:r>
    </w:p>
    <w:p w14:paraId="4047BC1A" w14:textId="77777777" w:rsidR="00C53B40" w:rsidRDefault="005C5BBD" w:rsidP="00C53B40">
      <w:pPr>
        <w:jc w:val="center"/>
        <w:rPr>
          <w:rFonts w:asciiTheme="minorHAnsi" w:hAnsiTheme="minorHAnsi"/>
          <w:bCs/>
          <w:szCs w:val="24"/>
        </w:rPr>
      </w:pPr>
      <w:r w:rsidRPr="005C5BBD">
        <w:rPr>
          <w:noProof/>
          <w:szCs w:val="24"/>
        </w:rPr>
        <w:lastRenderedPageBreak/>
        <w:drawing>
          <wp:inline distT="0" distB="0" distL="0" distR="0" wp14:anchorId="0400CCCC" wp14:editId="2DBD5273">
            <wp:extent cx="4796821" cy="3286711"/>
            <wp:effectExtent l="19050" t="0" r="3779" b="0"/>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4796821" cy="3286711"/>
                    </a:xfrm>
                    <a:prstGeom prst="rect">
                      <a:avLst/>
                    </a:prstGeom>
                    <a:noFill/>
                    <a:ln w="9525">
                      <a:noFill/>
                      <a:miter lim="800000"/>
                      <a:headEnd/>
                      <a:tailEnd/>
                    </a:ln>
                  </pic:spPr>
                </pic:pic>
              </a:graphicData>
            </a:graphic>
          </wp:inline>
        </w:drawing>
      </w:r>
    </w:p>
    <w:p w14:paraId="1B080FB5" w14:textId="77777777" w:rsidR="0005718D" w:rsidRDefault="0005718D" w:rsidP="00242382">
      <w:pPr>
        <w:keepNext/>
        <w:keepLines/>
        <w:widowControl w:val="0"/>
        <w:spacing w:before="240" w:after="240"/>
        <w:jc w:val="both"/>
        <w:rPr>
          <w:rFonts w:asciiTheme="minorHAnsi" w:hAnsiTheme="minorHAnsi"/>
          <w:bCs/>
          <w:szCs w:val="24"/>
        </w:rPr>
      </w:pPr>
      <w:r w:rsidRPr="0024452E">
        <w:rPr>
          <w:rFonts w:asciiTheme="minorHAnsi" w:hAnsiTheme="minorHAnsi"/>
          <w:bCs/>
          <w:szCs w:val="24"/>
        </w:rPr>
        <w:t xml:space="preserve">We have also included in the electronic deliverables, </w:t>
      </w:r>
      <w:r>
        <w:rPr>
          <w:rFonts w:asciiTheme="minorHAnsi" w:hAnsiTheme="minorHAnsi"/>
          <w:bCs/>
          <w:szCs w:val="24"/>
        </w:rPr>
        <w:t>a file with data for each biochemical displayed</w:t>
      </w:r>
      <w:r w:rsidRPr="0024452E">
        <w:rPr>
          <w:rFonts w:asciiTheme="minorHAnsi" w:hAnsiTheme="minorHAnsi"/>
          <w:bCs/>
          <w:szCs w:val="24"/>
        </w:rPr>
        <w:t xml:space="preserve"> as box</w:t>
      </w:r>
      <w:r>
        <w:rPr>
          <w:rFonts w:asciiTheme="minorHAnsi" w:hAnsiTheme="minorHAnsi"/>
          <w:bCs/>
          <w:szCs w:val="24"/>
        </w:rPr>
        <w:t xml:space="preserve"> </w:t>
      </w:r>
      <w:r w:rsidRPr="0024452E">
        <w:rPr>
          <w:rFonts w:asciiTheme="minorHAnsi" w:hAnsiTheme="minorHAnsi"/>
          <w:bCs/>
          <w:szCs w:val="24"/>
        </w:rPr>
        <w:t xml:space="preserve">plots </w:t>
      </w:r>
      <w:r>
        <w:rPr>
          <w:rFonts w:asciiTheme="minorHAnsi" w:hAnsiTheme="minorHAnsi"/>
          <w:bCs/>
          <w:szCs w:val="24"/>
        </w:rPr>
        <w:t>like that</w:t>
      </w:r>
      <w:r w:rsidRPr="0024452E">
        <w:rPr>
          <w:rFonts w:asciiTheme="minorHAnsi" w:hAnsiTheme="minorHAnsi"/>
          <w:bCs/>
          <w:szCs w:val="24"/>
        </w:rPr>
        <w:t xml:space="preserve"> </w:t>
      </w:r>
      <w:r>
        <w:rPr>
          <w:rFonts w:asciiTheme="minorHAnsi" w:hAnsiTheme="minorHAnsi"/>
          <w:bCs/>
          <w:szCs w:val="24"/>
        </w:rPr>
        <w:t>shown in</w:t>
      </w:r>
      <w:r w:rsidRPr="0024452E">
        <w:rPr>
          <w:rFonts w:asciiTheme="minorHAnsi" w:hAnsiTheme="minorHAnsi"/>
          <w:bCs/>
          <w:szCs w:val="24"/>
        </w:rPr>
        <w:t xml:space="preserve"> the</w:t>
      </w:r>
      <w:r>
        <w:rPr>
          <w:rFonts w:asciiTheme="minorHAnsi" w:hAnsiTheme="minorHAnsi"/>
          <w:bCs/>
          <w:szCs w:val="24"/>
        </w:rPr>
        <w:t xml:space="preserve"> example figure</w:t>
      </w:r>
      <w:r w:rsidRPr="0024452E">
        <w:rPr>
          <w:rFonts w:asciiTheme="minorHAnsi" w:hAnsiTheme="minorHAnsi"/>
          <w:bCs/>
          <w:szCs w:val="24"/>
        </w:rPr>
        <w:t xml:space="preserve"> below.</w:t>
      </w:r>
    </w:p>
    <w:p w14:paraId="1F4F5990" w14:textId="77777777" w:rsidR="0005718D" w:rsidRDefault="00E8756F" w:rsidP="0005718D">
      <w:pPr>
        <w:jc w:val="center"/>
        <w:rPr>
          <w:rFonts w:asciiTheme="minorHAnsi" w:hAnsiTheme="minorHAnsi"/>
          <w:bCs/>
          <w:szCs w:val="24"/>
        </w:rPr>
      </w:pPr>
      <w:r w:rsidRPr="00E8756F">
        <w:rPr>
          <w:noProof/>
        </w:rPr>
        <w:drawing>
          <wp:inline distT="0" distB="0" distL="0" distR="0" wp14:anchorId="5310E349" wp14:editId="49EC5BBC">
            <wp:extent cx="5453909" cy="4011310"/>
            <wp:effectExtent l="0" t="0" r="0" b="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5453909" cy="4011310"/>
                    </a:xfrm>
                    <a:prstGeom prst="rect">
                      <a:avLst/>
                    </a:prstGeom>
                    <a:noFill/>
                    <a:ln w="9525">
                      <a:noFill/>
                      <a:miter lim="800000"/>
                      <a:headEnd/>
                      <a:tailEnd/>
                    </a:ln>
                  </pic:spPr>
                </pic:pic>
              </a:graphicData>
            </a:graphic>
          </wp:inline>
        </w:drawing>
      </w:r>
    </w:p>
    <w:p w14:paraId="422BB5BD" w14:textId="77777777" w:rsidR="0005718D" w:rsidRDefault="0005718D" w:rsidP="0005718D">
      <w:pPr>
        <w:jc w:val="both"/>
        <w:rPr>
          <w:rFonts w:asciiTheme="minorHAnsi" w:hAnsiTheme="minorHAnsi"/>
          <w:bCs/>
          <w:noProof/>
          <w:szCs w:val="24"/>
        </w:rPr>
      </w:pPr>
    </w:p>
    <w:p w14:paraId="21E7F7FE" w14:textId="77777777" w:rsidR="0005718D" w:rsidRDefault="0005718D" w:rsidP="00D80C7B">
      <w:pPr>
        <w:jc w:val="both"/>
        <w:rPr>
          <w:rFonts w:asciiTheme="minorHAnsi" w:hAnsiTheme="minorHAnsi"/>
          <w:bCs/>
          <w:szCs w:val="24"/>
        </w:rPr>
        <w:sectPr w:rsidR="0005718D" w:rsidSect="007067CE">
          <w:footerReference w:type="default" r:id="rId14"/>
          <w:footerReference w:type="first" r:id="rId15"/>
          <w:type w:val="continuous"/>
          <w:pgSz w:w="12240" w:h="15840"/>
          <w:pgMar w:top="1440" w:right="1440" w:bottom="1440" w:left="1440" w:header="720" w:footer="720" w:gutter="0"/>
          <w:cols w:space="720"/>
          <w:titlePg/>
          <w:docGrid w:linePitch="360"/>
        </w:sectPr>
      </w:pPr>
    </w:p>
    <w:p w14:paraId="5B218711" w14:textId="77777777" w:rsidR="004146CE" w:rsidRPr="00223A57" w:rsidRDefault="00CC4BFB" w:rsidP="00E57B70">
      <w:pPr>
        <w:pStyle w:val="Heading2"/>
      </w:pPr>
      <w:bookmarkStart w:id="11" w:name="_Toc414973050"/>
      <w:r w:rsidRPr="00223A57">
        <w:lastRenderedPageBreak/>
        <w:t xml:space="preserve">Biological </w:t>
      </w:r>
      <w:r w:rsidRPr="00E57B70">
        <w:t>Interpretation</w:t>
      </w:r>
      <w:bookmarkEnd w:id="11"/>
    </w:p>
    <w:p w14:paraId="30476F11" w14:textId="77777777" w:rsidR="00D650DE" w:rsidRDefault="00D650DE" w:rsidP="00D650DE">
      <w:pPr>
        <w:jc w:val="both"/>
        <w:rPr>
          <w:rFonts w:asciiTheme="minorHAnsi" w:hAnsiTheme="minorHAnsi"/>
        </w:rPr>
      </w:pPr>
      <w:r>
        <w:rPr>
          <w:rFonts w:asciiTheme="minorHAnsi" w:hAnsiTheme="minorHAnsi"/>
        </w:rPr>
        <w:t>The purpose of this study was to examine metabolic interactions between microbial depletion with antibiotics and exposure to ozone in lung tissue and serum from mice.  In particular, mice were treated with a cocktail of antibiotics (ampicillin, neomycin, metronidazole, and vancomycin) in their drinking water for two weeks, and were subsequently exposed to room air or ozone (2 ppm for 3 hours).  After 24 hours, lung tissue and serum from mice given H</w:t>
      </w:r>
      <w:r w:rsidRPr="00DE22EE">
        <w:rPr>
          <w:rFonts w:asciiTheme="minorHAnsi" w:hAnsiTheme="minorHAnsi"/>
          <w:vertAlign w:val="subscript"/>
        </w:rPr>
        <w:t>2</w:t>
      </w:r>
      <w:r>
        <w:rPr>
          <w:rFonts w:asciiTheme="minorHAnsi" w:hAnsiTheme="minorHAnsi"/>
        </w:rPr>
        <w:t xml:space="preserve">O (control; n=8) or antibiotics (Abx; n=8) and subjected to air (control; n=8) or ozone (n=8) was collected for metabolomic study.  Individual lung tissue and serum samples were loaded by equivalent weights/volumes across the platform with no additional normalization performed prior to statistical analyses.  </w:t>
      </w:r>
    </w:p>
    <w:p w14:paraId="3F7CBB7D" w14:textId="77777777" w:rsidR="00D650DE" w:rsidRDefault="00D650DE" w:rsidP="00D650DE">
      <w:pPr>
        <w:jc w:val="both"/>
        <w:rPr>
          <w:rFonts w:asciiTheme="minorHAnsi" w:hAnsiTheme="minorHAnsi"/>
        </w:rPr>
      </w:pPr>
    </w:p>
    <w:p w14:paraId="2F317BDC" w14:textId="77777777" w:rsidR="00D650DE" w:rsidRDefault="00D650DE" w:rsidP="00D650DE">
      <w:pPr>
        <w:jc w:val="both"/>
        <w:rPr>
          <w:rFonts w:asciiTheme="minorHAnsi" w:hAnsiTheme="minorHAnsi"/>
        </w:rPr>
      </w:pPr>
      <w:r>
        <w:rPr>
          <w:rFonts w:asciiTheme="minorHAnsi" w:hAnsiTheme="minorHAnsi"/>
        </w:rPr>
        <w:t xml:space="preserve">Datasets provided in the mView product can be quite large and contain a great deal of information.  To provide an initial focus for further consideration, a few observations are provided below from a cursory view of the data.  Separation of </w:t>
      </w:r>
      <w:r w:rsidR="00DB6BF7">
        <w:rPr>
          <w:rFonts w:asciiTheme="minorHAnsi" w:hAnsiTheme="minorHAnsi"/>
        </w:rPr>
        <w:t>sample</w:t>
      </w:r>
      <w:r>
        <w:rPr>
          <w:rFonts w:asciiTheme="minorHAnsi" w:hAnsiTheme="minorHAnsi"/>
        </w:rPr>
        <w:t>s by principal component analysis (PCA) is presented first, followed by a discussion of metabolic pathways that were differentially altered in lung tissue and/or serum upon exposure to ozone in mice treated with H</w:t>
      </w:r>
      <w:r w:rsidRPr="00DE22EE">
        <w:rPr>
          <w:rFonts w:asciiTheme="minorHAnsi" w:hAnsiTheme="minorHAnsi"/>
          <w:vertAlign w:val="subscript"/>
        </w:rPr>
        <w:t>2</w:t>
      </w:r>
      <w:r>
        <w:rPr>
          <w:rFonts w:asciiTheme="minorHAnsi" w:hAnsiTheme="minorHAnsi"/>
        </w:rPr>
        <w:t xml:space="preserve">O or antibiotics.  </w:t>
      </w:r>
    </w:p>
    <w:p w14:paraId="18696B69" w14:textId="77777777" w:rsidR="00D650DE" w:rsidRDefault="00D650DE" w:rsidP="00D650DE">
      <w:pPr>
        <w:jc w:val="both"/>
        <w:rPr>
          <w:rFonts w:asciiTheme="minorHAnsi" w:hAnsiTheme="minorHAnsi"/>
        </w:rPr>
      </w:pPr>
    </w:p>
    <w:p w14:paraId="1F4A4F5F" w14:textId="77777777" w:rsidR="00D650DE" w:rsidRDefault="00D650DE" w:rsidP="00D650DE">
      <w:pPr>
        <w:pStyle w:val="ListParagraph"/>
        <w:numPr>
          <w:ilvl w:val="0"/>
          <w:numId w:val="29"/>
        </w:numPr>
        <w:spacing w:after="100"/>
        <w:ind w:left="540" w:hanging="270"/>
        <w:jc w:val="both"/>
        <w:rPr>
          <w:rFonts w:asciiTheme="minorHAnsi" w:hAnsiTheme="minorHAnsi"/>
        </w:rPr>
      </w:pPr>
      <w:r>
        <w:rPr>
          <w:rFonts w:asciiTheme="minorHAnsi" w:hAnsiTheme="minorHAnsi"/>
          <w:b/>
        </w:rPr>
        <w:t>Clear metabolic shifts associated with exposure to Abx and/or ozone were apparent in both lung tissue and serum samples.</w:t>
      </w:r>
      <w:r>
        <w:rPr>
          <w:rFonts w:asciiTheme="minorHAnsi" w:hAnsiTheme="minorHAnsi"/>
        </w:rPr>
        <w:t xml:space="preserve">  Application of PCA to determine separation of study groups demonstrated that the lung tissue and serum metabolic profiles of mice exposed to Abx and/or ozone were quite distinct.  In this analysis, a large number of metabolic variables were transformed into a smaller number of orthogonal variables (i.e., Comp. 1, Comp. 2) in order to analyze variation between the groups</w:t>
      </w:r>
      <w:r w:rsidRPr="005F45D9">
        <w:rPr>
          <w:rFonts w:asciiTheme="minorHAnsi" w:hAnsiTheme="minorHAnsi"/>
        </w:rPr>
        <w:t xml:space="preserve"> </w:t>
      </w:r>
      <w:r>
        <w:rPr>
          <w:rFonts w:asciiTheme="minorHAnsi" w:hAnsiTheme="minorHAnsi"/>
        </w:rPr>
        <w:t>and populations that differ are expected to group separately.  In particular, a metabolic shift reflective of Abx intake was clearly present in lung tissue and serum regardless of exposure to ozone, and treatment with ozone induced further metabolic changes that resulted in clear separation</w:t>
      </w:r>
      <w:r w:rsidR="00DB6BF7">
        <w:rPr>
          <w:rFonts w:asciiTheme="minorHAnsi" w:hAnsiTheme="minorHAnsi"/>
        </w:rPr>
        <w:t xml:space="preserve"> of groups in</w:t>
      </w:r>
      <w:r>
        <w:rPr>
          <w:rFonts w:asciiTheme="minorHAnsi" w:hAnsiTheme="minorHAnsi"/>
        </w:rPr>
        <w:t xml:space="preserve"> lun</w:t>
      </w:r>
      <w:r w:rsidR="00DB6BF7">
        <w:rPr>
          <w:rFonts w:asciiTheme="minorHAnsi" w:hAnsiTheme="minorHAnsi"/>
        </w:rPr>
        <w:t>g tissue and serum samples</w:t>
      </w:r>
      <w:r>
        <w:rPr>
          <w:rFonts w:asciiTheme="minorHAnsi" w:hAnsiTheme="minorHAnsi"/>
        </w:rPr>
        <w:t xml:space="preserve">.  Results from the PCA are in agreement with the large numbers of statistically significant biochemical changes that were observed when comparing across study groups.  It is important to note that one lung tissue sample (client identifier 27) exhibited distinct separation from all other samples; however, this sample was not deemed a true outlier according to the criteria (must show extreme values for at least 35-40% of metabolites) set forth by Metabolon statisticians and was therefore retained within the dataset for the purposes of statistical analysis.  </w:t>
      </w:r>
    </w:p>
    <w:p w14:paraId="00D3BA25" w14:textId="77777777" w:rsidR="00D650DE" w:rsidRDefault="00D650DE" w:rsidP="00D650DE">
      <w:pPr>
        <w:pStyle w:val="ListParagraph"/>
        <w:spacing w:after="100"/>
        <w:ind w:left="540"/>
        <w:jc w:val="both"/>
        <w:rPr>
          <w:rFonts w:asciiTheme="minorHAnsi" w:hAnsiTheme="minorHAnsi"/>
        </w:rPr>
      </w:pPr>
    </w:p>
    <w:p w14:paraId="5598CD9F" w14:textId="77777777" w:rsidR="00D650DE" w:rsidRDefault="00D650DE" w:rsidP="00D650DE">
      <w:pPr>
        <w:pStyle w:val="ListParagraph"/>
        <w:numPr>
          <w:ilvl w:val="0"/>
          <w:numId w:val="29"/>
        </w:numPr>
        <w:spacing w:after="100"/>
        <w:ind w:left="540" w:hanging="270"/>
        <w:jc w:val="both"/>
        <w:rPr>
          <w:rFonts w:asciiTheme="minorHAnsi" w:hAnsiTheme="minorHAnsi"/>
        </w:rPr>
      </w:pPr>
      <w:r>
        <w:rPr>
          <w:rFonts w:asciiTheme="minorHAnsi" w:hAnsiTheme="minorHAnsi"/>
          <w:b/>
        </w:rPr>
        <w:t xml:space="preserve">Bile acids and potential hepatotoxicity.  </w:t>
      </w:r>
      <w:r>
        <w:rPr>
          <w:rFonts w:asciiTheme="minorHAnsi" w:hAnsiTheme="minorHAnsi"/>
        </w:rPr>
        <w:t xml:space="preserve">One of the most consistent and marked changes in the dataset involved accumulation of numerous </w:t>
      </w:r>
      <w:r>
        <w:rPr>
          <w:rFonts w:asciiTheme="minorHAnsi" w:hAnsiTheme="minorHAnsi"/>
          <w:b/>
        </w:rPr>
        <w:t xml:space="preserve">primary </w:t>
      </w:r>
      <w:r>
        <w:rPr>
          <w:rFonts w:asciiTheme="minorHAnsi" w:hAnsiTheme="minorHAnsi"/>
        </w:rPr>
        <w:t xml:space="preserve">and </w:t>
      </w:r>
      <w:r>
        <w:rPr>
          <w:rFonts w:asciiTheme="minorHAnsi" w:hAnsiTheme="minorHAnsi"/>
          <w:b/>
        </w:rPr>
        <w:t>secondary bile acids</w:t>
      </w:r>
      <w:r>
        <w:rPr>
          <w:rFonts w:asciiTheme="minorHAnsi" w:hAnsiTheme="minorHAnsi"/>
        </w:rPr>
        <w:t xml:space="preserve"> in lung tissue and serum from mice treated with Abx and exposed to ozone.  Primary bile acids are synthesized </w:t>
      </w:r>
      <w:r w:rsidR="00DB6BF7">
        <w:rPr>
          <w:rFonts w:asciiTheme="minorHAnsi" w:hAnsiTheme="minorHAnsi"/>
        </w:rPr>
        <w:t xml:space="preserve">and may be conjugated to glycine or taurine </w:t>
      </w:r>
      <w:r>
        <w:rPr>
          <w:rFonts w:asciiTheme="minorHAnsi" w:hAnsiTheme="minorHAnsi"/>
        </w:rPr>
        <w:t>in the liver and</w:t>
      </w:r>
      <w:r w:rsidR="00DB6BF7">
        <w:rPr>
          <w:rFonts w:asciiTheme="minorHAnsi" w:hAnsiTheme="minorHAnsi"/>
        </w:rPr>
        <w:t xml:space="preserve"> are</w:t>
      </w:r>
      <w:r>
        <w:rPr>
          <w:rFonts w:asciiTheme="minorHAnsi" w:hAnsiTheme="minorHAnsi"/>
        </w:rPr>
        <w:t xml:space="preserve"> secreted into the s</w:t>
      </w:r>
      <w:r w:rsidR="00DB6BF7">
        <w:rPr>
          <w:rFonts w:asciiTheme="minorHAnsi" w:hAnsiTheme="minorHAnsi"/>
        </w:rPr>
        <w:t>mall intestine upon food intake where they assist</w:t>
      </w:r>
      <w:r>
        <w:rPr>
          <w:rFonts w:asciiTheme="minorHAnsi" w:hAnsiTheme="minorHAnsi"/>
        </w:rPr>
        <w:t xml:space="preserve"> with emulsion and uptake of dietary lipids and fat-soluble vitamins.  A large portion of bile acids are generally reabsorbed from the small intestine and returned to the liver via enterohepatic circulation, where they undergo hepatic extraction from portal blood.  Primary bile acids </w:t>
      </w:r>
      <w:r>
        <w:rPr>
          <w:rFonts w:asciiTheme="minorHAnsi" w:hAnsiTheme="minorHAnsi"/>
        </w:rPr>
        <w:lastRenderedPageBreak/>
        <w:t xml:space="preserve">that remain in the intestinal tract are typically deconjugated and decarboxylated by intestinal bacteria, resulting in production of secondary bile acids that may be reabsorbed or excreted in the feces.  Due to their potentially toxic properties, bile acids are removed from the circulation by the liver with high efficiency; however, in the setting of hepatic dysfunction this process is disrupted and serum bile acids increase.  General elevations in primary and secondary bile acids in mice treated with Abx and exposed to ozone may suggest that these two factors have a synergistic effect on hepatic dysfunction, resulting in accumulation of these metabolites in serum.  Accumulation of bile acids in lung tissue may simply result from elevated levels in the circulation, with the alternative possibility that gastroesophageal reflux (GER) and/or increased expression of the enzyme machinery responsible for </w:t>
      </w:r>
      <w:r>
        <w:rPr>
          <w:rFonts w:asciiTheme="minorHAnsi" w:hAnsiTheme="minorHAnsi"/>
          <w:i/>
        </w:rPr>
        <w:t>de novo</w:t>
      </w:r>
      <w:r>
        <w:rPr>
          <w:rFonts w:asciiTheme="minorHAnsi" w:hAnsiTheme="minorHAnsi"/>
        </w:rPr>
        <w:t xml:space="preserve"> bile acid synthesis within pulmonary vascular endothelial cells may also contribute to elevated bile acids in lung tissue from mice treated with Abx and exposed to ozone.  These findings highlight an important interaction between treatment with Abx and ozone and suggest that hepatic dysfunction may be a consequence of these two factors.   </w:t>
      </w:r>
    </w:p>
    <w:p w14:paraId="62151EBC" w14:textId="77777777" w:rsidR="00D650DE" w:rsidRDefault="00D650DE" w:rsidP="00D650DE">
      <w:pPr>
        <w:pStyle w:val="ListParagraph"/>
        <w:spacing w:after="100"/>
        <w:ind w:left="540"/>
        <w:jc w:val="both"/>
        <w:rPr>
          <w:rFonts w:asciiTheme="minorHAnsi" w:hAnsiTheme="minorHAnsi"/>
        </w:rPr>
      </w:pPr>
    </w:p>
    <w:p w14:paraId="5F48ECA9" w14:textId="77777777" w:rsidR="00D650DE" w:rsidRDefault="00D650DE" w:rsidP="00D650DE">
      <w:pPr>
        <w:pStyle w:val="ListParagraph"/>
        <w:numPr>
          <w:ilvl w:val="0"/>
          <w:numId w:val="29"/>
        </w:numPr>
        <w:spacing w:after="100"/>
        <w:ind w:left="540" w:hanging="270"/>
        <w:jc w:val="both"/>
        <w:rPr>
          <w:rFonts w:asciiTheme="minorHAnsi" w:hAnsiTheme="minorHAnsi"/>
        </w:rPr>
      </w:pPr>
      <w:r>
        <w:rPr>
          <w:rFonts w:asciiTheme="minorHAnsi" w:hAnsiTheme="minorHAnsi"/>
          <w:b/>
        </w:rPr>
        <w:t xml:space="preserve">Oxidative stress and the gamma-glutamyl cycle.  </w:t>
      </w:r>
      <w:r>
        <w:rPr>
          <w:rFonts w:asciiTheme="minorHAnsi" w:hAnsiTheme="minorHAnsi"/>
        </w:rPr>
        <w:t xml:space="preserve">Gamma-glutamyl amino acids may be formed as part of the gamma-glutamyl cycle associated with </w:t>
      </w:r>
      <w:r w:rsidR="00DB6BF7">
        <w:rPr>
          <w:rFonts w:asciiTheme="minorHAnsi" w:hAnsiTheme="minorHAnsi"/>
        </w:rPr>
        <w:t xml:space="preserve">activity of </w:t>
      </w:r>
      <w:r>
        <w:rPr>
          <w:rFonts w:asciiTheme="minorHAnsi" w:hAnsiTheme="minorHAnsi"/>
        </w:rPr>
        <w:t>gamma-glutam</w:t>
      </w:r>
      <w:r w:rsidR="00DB6BF7">
        <w:rPr>
          <w:rFonts w:asciiTheme="minorHAnsi" w:hAnsiTheme="minorHAnsi"/>
        </w:rPr>
        <w:t>yl transpeptidase (GGT)</w:t>
      </w:r>
      <w:r>
        <w:rPr>
          <w:rFonts w:asciiTheme="minorHAnsi" w:hAnsiTheme="minorHAnsi"/>
        </w:rPr>
        <w:t xml:space="preserve">, a metabolic pathway that is important for recycling and regeneration of the potent antioxidant glutathione.  Consistent elevations in nearly all </w:t>
      </w:r>
      <w:r>
        <w:rPr>
          <w:rFonts w:asciiTheme="minorHAnsi" w:hAnsiTheme="minorHAnsi"/>
          <w:b/>
        </w:rPr>
        <w:t xml:space="preserve">gamma-glutamyl amino acids </w:t>
      </w:r>
      <w:r>
        <w:rPr>
          <w:rFonts w:asciiTheme="minorHAnsi" w:hAnsiTheme="minorHAnsi"/>
        </w:rPr>
        <w:t xml:space="preserve">measured in lung tissue were observed in mice treated with Abx and exposed to ozone, suggestive of increased activity of the gamma-glutamyl cycle in these animals.  Indeed, GGT activity has been characterized in lung epithelium and surfactant as an important contributor to glutathione metabolism.  While increased glutathione demand is expected to support detoxification and elimination of antibiotics, pronounced elevations in gamma-glutamyl amino acids were only observed in mice treated with Abx that were also exposed to ozone.  These findings are suggestive of a synergistic effect of these two treatments on gamma-glutamyl cycle activity and may also be related to oxidative stress induced by ozone treatment in lung tissue.  Although changes in additional metabolic indicators of oxidative stress were generally mixed in lung tissue from mice treated with Abx and exposed to ozone, an interesting and consistent reduction in several markers of an oxidative environment were observed in serum from these animals.  In particular, reductions in </w:t>
      </w:r>
      <w:r>
        <w:rPr>
          <w:rFonts w:asciiTheme="minorHAnsi" w:hAnsiTheme="minorHAnsi"/>
          <w:b/>
        </w:rPr>
        <w:t xml:space="preserve">dimethylarginine (SDMA + ADMA), oxidized glutathione (GSSG), </w:t>
      </w:r>
      <w:r>
        <w:rPr>
          <w:rFonts w:asciiTheme="minorHAnsi" w:hAnsiTheme="minorHAnsi"/>
        </w:rPr>
        <w:t xml:space="preserve">the lipid peroxidation marker </w:t>
      </w:r>
      <w:r>
        <w:rPr>
          <w:rFonts w:asciiTheme="minorHAnsi" w:hAnsiTheme="minorHAnsi"/>
          <w:b/>
        </w:rPr>
        <w:t xml:space="preserve">13-HODE + 9-HODE, </w:t>
      </w:r>
      <w:r>
        <w:rPr>
          <w:rFonts w:asciiTheme="minorHAnsi" w:hAnsiTheme="minorHAnsi"/>
        </w:rPr>
        <w:t xml:space="preserve">the autoxidation product of docosahexaenoic acid (DHA) </w:t>
      </w:r>
      <w:r>
        <w:rPr>
          <w:rFonts w:asciiTheme="minorHAnsi" w:hAnsiTheme="minorHAnsi"/>
          <w:b/>
        </w:rPr>
        <w:t>17-HDoHe</w:t>
      </w:r>
      <w:r>
        <w:rPr>
          <w:rFonts w:asciiTheme="minorHAnsi" w:hAnsiTheme="minorHAnsi"/>
        </w:rPr>
        <w:t xml:space="preserve">, and the diol formed from hydrolysis of the 9,10 epoxide of linoleic acid </w:t>
      </w:r>
      <w:r>
        <w:rPr>
          <w:rFonts w:asciiTheme="minorHAnsi" w:hAnsiTheme="minorHAnsi"/>
          <w:b/>
        </w:rPr>
        <w:t xml:space="preserve">9,10-diHOME </w:t>
      </w:r>
      <w:r>
        <w:rPr>
          <w:rFonts w:asciiTheme="minorHAnsi" w:hAnsiTheme="minorHAnsi"/>
        </w:rPr>
        <w:t xml:space="preserve">were limited to mice treated with Abx and exposed to ozone.  These changes were accompanied by a reduction in </w:t>
      </w:r>
      <w:r>
        <w:rPr>
          <w:rFonts w:asciiTheme="minorHAnsi" w:hAnsiTheme="minorHAnsi"/>
          <w:b/>
        </w:rPr>
        <w:t>alpha-tocopherol (vitamin E)</w:t>
      </w:r>
      <w:r>
        <w:rPr>
          <w:rFonts w:asciiTheme="minorHAnsi" w:hAnsiTheme="minorHAnsi"/>
        </w:rPr>
        <w:t xml:space="preserve">, which may suggest that increased utilization of this antioxidant plays an important role in the reduction in oxidative stress observed in these mice.  While inflammation resulting from oxidative stress is thought to contribute to negative effects associated with exposure to ozone, various reports in the literature have also demonstrated that ozone therapy may act in an anti-oxidative and anti-inflammatory manner under certain conditions.  Thus, findings from the current study suggest that reductions in systemic oxidative stress may result from concurrent exposure to Abx and </w:t>
      </w:r>
      <w:r>
        <w:rPr>
          <w:rFonts w:asciiTheme="minorHAnsi" w:hAnsiTheme="minorHAnsi"/>
        </w:rPr>
        <w:lastRenderedPageBreak/>
        <w:t xml:space="preserve">ozone in mice, whereas the status of the oxidative environment in lung tissue as reflected by the metabolome in these animals is less clear. </w:t>
      </w:r>
    </w:p>
    <w:p w14:paraId="5D75B096" w14:textId="77777777" w:rsidR="00D650DE" w:rsidRPr="005F6068" w:rsidRDefault="00D650DE" w:rsidP="00D650DE">
      <w:pPr>
        <w:pStyle w:val="ListParagraph"/>
        <w:numPr>
          <w:ilvl w:val="0"/>
          <w:numId w:val="29"/>
        </w:numPr>
        <w:spacing w:after="100"/>
        <w:ind w:left="540" w:hanging="270"/>
        <w:jc w:val="both"/>
        <w:rPr>
          <w:rFonts w:asciiTheme="minorHAnsi" w:hAnsiTheme="minorHAnsi"/>
        </w:rPr>
      </w:pPr>
      <w:r>
        <w:rPr>
          <w:rFonts w:asciiTheme="minorHAnsi" w:hAnsiTheme="minorHAnsi"/>
          <w:b/>
        </w:rPr>
        <w:t xml:space="preserve">Differential ozone-induced alterations in the serum free fatty acid profile.  </w:t>
      </w:r>
      <w:r>
        <w:rPr>
          <w:rFonts w:asciiTheme="minorHAnsi" w:hAnsiTheme="minorHAnsi"/>
        </w:rPr>
        <w:t xml:space="preserve">One of the most striking differential changes observed when comparing study groups involved pronounced reductions in numerous </w:t>
      </w:r>
      <w:r>
        <w:rPr>
          <w:rFonts w:asciiTheme="minorHAnsi" w:hAnsiTheme="minorHAnsi"/>
          <w:b/>
        </w:rPr>
        <w:t xml:space="preserve">medium-chain </w:t>
      </w:r>
      <w:r>
        <w:rPr>
          <w:rFonts w:asciiTheme="minorHAnsi" w:hAnsiTheme="minorHAnsi"/>
        </w:rPr>
        <w:t xml:space="preserve">and </w:t>
      </w:r>
      <w:r>
        <w:rPr>
          <w:rFonts w:asciiTheme="minorHAnsi" w:hAnsiTheme="minorHAnsi"/>
          <w:b/>
        </w:rPr>
        <w:t xml:space="preserve">long-chain saturated, monounsaturated, </w:t>
      </w:r>
      <w:r>
        <w:rPr>
          <w:rFonts w:asciiTheme="minorHAnsi" w:hAnsiTheme="minorHAnsi"/>
        </w:rPr>
        <w:t xml:space="preserve">and </w:t>
      </w:r>
      <w:r>
        <w:rPr>
          <w:rFonts w:asciiTheme="minorHAnsi" w:hAnsiTheme="minorHAnsi"/>
          <w:b/>
        </w:rPr>
        <w:t xml:space="preserve">polyunsaturated free fatty acids </w:t>
      </w:r>
      <w:r>
        <w:rPr>
          <w:rFonts w:asciiTheme="minorHAnsi" w:hAnsiTheme="minorHAnsi"/>
        </w:rPr>
        <w:t xml:space="preserve">in mice treated with Abx and exposed to ozone, while these metabolites were generally unchanged or increased in mice treated with Abx but not exposed to ozone.  Changes in lipid-related metabolites in lung tissue were generally consistent across groups and therefore do not appear to play a major role in the free fatty acid perturbations observed in serum.  Despite consistent reductions in free fatty acids, including dicarboxylic and hydroxylated free fatty acids, in mice treated with Abx and exposed to ozone, circulating levels of metabolites reflective of lipid metabolism [i.e., long-chain acylcarnitines such as </w:t>
      </w:r>
      <w:r>
        <w:rPr>
          <w:rFonts w:asciiTheme="minorHAnsi" w:hAnsiTheme="minorHAnsi"/>
          <w:b/>
        </w:rPr>
        <w:t xml:space="preserve">palmitoylcarnitine </w:t>
      </w:r>
      <w:r>
        <w:rPr>
          <w:rFonts w:asciiTheme="minorHAnsi" w:hAnsiTheme="minorHAnsi"/>
        </w:rPr>
        <w:t xml:space="preserve">and </w:t>
      </w:r>
      <w:r>
        <w:rPr>
          <w:rFonts w:asciiTheme="minorHAnsi" w:hAnsiTheme="minorHAnsi"/>
          <w:b/>
        </w:rPr>
        <w:t>stearoylcarnitine</w:t>
      </w:r>
      <w:r>
        <w:rPr>
          <w:rFonts w:asciiTheme="minorHAnsi" w:hAnsiTheme="minorHAnsi"/>
        </w:rPr>
        <w:t xml:space="preserve"> and the ketone body </w:t>
      </w:r>
      <w:r>
        <w:rPr>
          <w:rFonts w:asciiTheme="minorHAnsi" w:hAnsiTheme="minorHAnsi"/>
          <w:b/>
        </w:rPr>
        <w:t>3-hydroxybutyrate (BHBA)</w:t>
      </w:r>
      <w:r>
        <w:rPr>
          <w:rFonts w:asciiTheme="minorHAnsi" w:hAnsiTheme="minorHAnsi"/>
        </w:rPr>
        <w:t xml:space="preserve">] did not differ substantially across study groups.  Long-chain free fatty acids must be conjugated with carnitine to facilitate crossing of mitochondrial membranes and entry into the mitochondrial matrix in order to undergo subsequent </w:t>
      </w:r>
      <w:r>
        <w:rPr>
          <w:rFonts w:asciiTheme="minorHAnsi" w:hAnsiTheme="minorHAnsi" w:cstheme="minorHAnsi"/>
        </w:rPr>
        <w:t>β</w:t>
      </w:r>
      <w:r>
        <w:rPr>
          <w:rFonts w:asciiTheme="minorHAnsi" w:hAnsiTheme="minorHAnsi"/>
        </w:rPr>
        <w:t xml:space="preserve">-oxidation, and ketones such as BHBA are synthesized from excess acetyl-CoA that </w:t>
      </w:r>
      <w:r w:rsidR="00C95031">
        <w:rPr>
          <w:rFonts w:asciiTheme="minorHAnsi" w:hAnsiTheme="minorHAnsi"/>
        </w:rPr>
        <w:t>generally</w:t>
      </w:r>
      <w:r>
        <w:rPr>
          <w:rFonts w:asciiTheme="minorHAnsi" w:hAnsiTheme="minorHAnsi"/>
        </w:rPr>
        <w:t xml:space="preserve"> results from </w:t>
      </w:r>
      <w:r w:rsidR="00C95031">
        <w:rPr>
          <w:rFonts w:asciiTheme="minorHAnsi" w:hAnsiTheme="minorHAnsi"/>
        </w:rPr>
        <w:t>increased</w:t>
      </w:r>
      <w:r>
        <w:rPr>
          <w:rFonts w:asciiTheme="minorHAnsi" w:hAnsiTheme="minorHAnsi"/>
        </w:rPr>
        <w:t xml:space="preserve"> lipid metabolism in a process that typically occurs in the liver.  Thus, despite the pronounced reductions in circulating free fatty acids induce</w:t>
      </w:r>
      <w:r w:rsidR="00C95031">
        <w:rPr>
          <w:rFonts w:asciiTheme="minorHAnsi" w:hAnsiTheme="minorHAnsi"/>
        </w:rPr>
        <w:t>d by treatment</w:t>
      </w:r>
      <w:r>
        <w:rPr>
          <w:rFonts w:asciiTheme="minorHAnsi" w:hAnsiTheme="minorHAnsi"/>
        </w:rPr>
        <w:t xml:space="preserve"> with Abx and exposure to ozone, “downstream” pathways of lipid metabolism are not affected by this treatment.  An alternative explanation</w:t>
      </w:r>
      <w:r w:rsidR="00C95031">
        <w:rPr>
          <w:rFonts w:asciiTheme="minorHAnsi" w:hAnsiTheme="minorHAnsi"/>
        </w:rPr>
        <w:t xml:space="preserve"> for the changes in free fatty acids</w:t>
      </w:r>
      <w:r>
        <w:rPr>
          <w:rFonts w:asciiTheme="minorHAnsi" w:hAnsiTheme="minorHAnsi"/>
        </w:rPr>
        <w:t xml:space="preserve"> may involve </w:t>
      </w:r>
      <w:r w:rsidR="00C95031">
        <w:rPr>
          <w:rFonts w:asciiTheme="minorHAnsi" w:hAnsiTheme="minorHAnsi"/>
        </w:rPr>
        <w:t>alterations</w:t>
      </w:r>
      <w:r>
        <w:rPr>
          <w:rFonts w:asciiTheme="minorHAnsi" w:hAnsiTheme="minorHAnsi"/>
        </w:rPr>
        <w:t xml:space="preserve"> in lipolysis, as the biochemical marker of this process, </w:t>
      </w:r>
      <w:r>
        <w:rPr>
          <w:rFonts w:asciiTheme="minorHAnsi" w:hAnsiTheme="minorHAnsi"/>
          <w:b/>
        </w:rPr>
        <w:t>glycerol</w:t>
      </w:r>
      <w:r>
        <w:rPr>
          <w:rFonts w:asciiTheme="minorHAnsi" w:hAnsiTheme="minorHAnsi"/>
        </w:rPr>
        <w:t>, was concomitantly reduced in mice treated with Abx and exposed to ozone.  Thus, the interaction between Abx treatment and ozone exposure may result in decreased release of free fatty acids from storage depots such as adipose tissue, giving rise to the pronounced reductions in circulating free fatty acids observed in mice subjected to these treatment conditions.  Although ozone has been reported to induce changes in lipid metabolism through pathways related to induction of pro-oxidative and pro-inflammatory lipid mediators (i.e., prostaglandins and eicosanoids), these metabolites were not different when comparing across study groups in the current study.  Taken together, these findings provide novel insight into changes in whole-body lipid handling induced by Abx treatment and ozone exposure and suggest that further study will be required to determine the precise pathways related to lipid metabolism that are affected in these animals.</w:t>
      </w:r>
    </w:p>
    <w:p w14:paraId="070461B5" w14:textId="77777777" w:rsidR="00D650DE" w:rsidRPr="005F6068" w:rsidRDefault="00D650DE" w:rsidP="00D650DE">
      <w:pPr>
        <w:pStyle w:val="ListParagraph"/>
        <w:spacing w:after="100"/>
        <w:ind w:left="540"/>
        <w:jc w:val="both"/>
        <w:rPr>
          <w:rFonts w:asciiTheme="minorHAnsi" w:hAnsiTheme="minorHAnsi"/>
        </w:rPr>
      </w:pPr>
    </w:p>
    <w:p w14:paraId="4E250FDB" w14:textId="597CC43B" w:rsidR="00D650DE" w:rsidRDefault="00D650DE" w:rsidP="00D650DE">
      <w:pPr>
        <w:pStyle w:val="ListParagraph"/>
        <w:numPr>
          <w:ilvl w:val="0"/>
          <w:numId w:val="29"/>
        </w:numPr>
        <w:spacing w:after="100"/>
        <w:ind w:left="540" w:hanging="270"/>
        <w:jc w:val="both"/>
        <w:rPr>
          <w:rFonts w:asciiTheme="minorHAnsi" w:hAnsiTheme="minorHAnsi"/>
        </w:rPr>
      </w:pPr>
      <w:r>
        <w:rPr>
          <w:rFonts w:asciiTheme="minorHAnsi" w:hAnsiTheme="minorHAnsi"/>
          <w:b/>
        </w:rPr>
        <w:t xml:space="preserve">Polyamine metabolism.  </w:t>
      </w:r>
      <w:r>
        <w:rPr>
          <w:rFonts w:asciiTheme="minorHAnsi" w:hAnsiTheme="minorHAnsi"/>
        </w:rPr>
        <w:t xml:space="preserve">Polyamines are small nitrogen-containing compounds that play an integral yet poorly understood role in cellular physiology.  Among other functions, these metabolites bind to and stabilize RNA and DNA to control gene expression programs, and are essential for cellular proliferation.  Importantly, alterations in polyamine metabolism following exposure to ozone have been documented in the literature, and published studies indicate that these biochemicals may be protective against detrimental effects of ozone in plants and heart tissue.  In the current study, elevations in the circulating polyamines </w:t>
      </w:r>
      <w:r>
        <w:rPr>
          <w:rFonts w:asciiTheme="minorHAnsi" w:hAnsiTheme="minorHAnsi"/>
          <w:b/>
        </w:rPr>
        <w:t xml:space="preserve">spermine </w:t>
      </w:r>
      <w:r>
        <w:rPr>
          <w:rFonts w:asciiTheme="minorHAnsi" w:hAnsiTheme="minorHAnsi"/>
        </w:rPr>
        <w:t xml:space="preserve">and </w:t>
      </w:r>
      <w:r>
        <w:rPr>
          <w:rFonts w:asciiTheme="minorHAnsi" w:hAnsiTheme="minorHAnsi"/>
          <w:b/>
        </w:rPr>
        <w:t xml:space="preserve">spermidine </w:t>
      </w:r>
      <w:r>
        <w:rPr>
          <w:rFonts w:asciiTheme="minorHAnsi" w:hAnsiTheme="minorHAnsi"/>
        </w:rPr>
        <w:t xml:space="preserve">and </w:t>
      </w:r>
      <w:r w:rsidR="002A7362">
        <w:rPr>
          <w:rFonts w:asciiTheme="minorHAnsi" w:hAnsiTheme="minorHAnsi"/>
        </w:rPr>
        <w:t xml:space="preserve">the </w:t>
      </w:r>
      <w:r>
        <w:rPr>
          <w:rFonts w:asciiTheme="minorHAnsi" w:hAnsiTheme="minorHAnsi"/>
        </w:rPr>
        <w:t xml:space="preserve">related molecule </w:t>
      </w:r>
      <w:r>
        <w:rPr>
          <w:rFonts w:asciiTheme="minorHAnsi" w:hAnsiTheme="minorHAnsi"/>
          <w:b/>
        </w:rPr>
        <w:t xml:space="preserve">acisoga </w:t>
      </w:r>
      <w:r>
        <w:rPr>
          <w:rFonts w:asciiTheme="minorHAnsi" w:hAnsiTheme="minorHAnsi"/>
        </w:rPr>
        <w:t xml:space="preserve">were observed in serum samples from mice exposed to ozone in the </w:t>
      </w:r>
      <w:r>
        <w:rPr>
          <w:rFonts w:asciiTheme="minorHAnsi" w:hAnsiTheme="minorHAnsi"/>
        </w:rPr>
        <w:lastRenderedPageBreak/>
        <w:t xml:space="preserve">absence of Abx, but increased polyamine levels were attenuated in mice treated with Abx and exposed to ozone.  Although polyamines were measured in lung tissue, a differential pattern of change was not readily apparent </w:t>
      </w:r>
      <w:r w:rsidR="00C95031">
        <w:rPr>
          <w:rFonts w:asciiTheme="minorHAnsi" w:hAnsiTheme="minorHAnsi"/>
        </w:rPr>
        <w:t>as a function of</w:t>
      </w:r>
      <w:r>
        <w:rPr>
          <w:rFonts w:asciiTheme="minorHAnsi" w:hAnsiTheme="minorHAnsi"/>
        </w:rPr>
        <w:t xml:space="preserve"> treatment with Abx and/or exposure to ozone.  Therefore, results from this study suggest that a potentially protective elevation in polyamines induced by exposure to ozone may be absent in mice treated with Abx, although this effect appears to be systemic and is not specific to lung tissue.  </w:t>
      </w:r>
    </w:p>
    <w:p w14:paraId="7EDE19C0" w14:textId="77777777" w:rsidR="00D650DE" w:rsidRPr="004B6422" w:rsidRDefault="00D650DE" w:rsidP="00D650DE">
      <w:pPr>
        <w:spacing w:after="100"/>
        <w:ind w:left="270"/>
        <w:jc w:val="both"/>
        <w:rPr>
          <w:rFonts w:asciiTheme="minorHAnsi" w:hAnsiTheme="minorHAnsi"/>
        </w:rPr>
      </w:pPr>
      <w:r w:rsidRPr="004B6422">
        <w:rPr>
          <w:rFonts w:asciiTheme="minorHAnsi" w:hAnsiTheme="minorHAnsi"/>
        </w:rPr>
        <w:t xml:space="preserve">    </w:t>
      </w:r>
    </w:p>
    <w:p w14:paraId="298EC8BF" w14:textId="77777777" w:rsidR="004146CE" w:rsidRDefault="004146CE" w:rsidP="004146CE">
      <w:pPr>
        <w:pStyle w:val="Heading2"/>
        <w:rPr>
          <w:rFonts w:cstheme="minorHAnsi"/>
        </w:rPr>
      </w:pPr>
    </w:p>
    <w:p w14:paraId="65B813BD" w14:textId="77777777" w:rsidR="00821279" w:rsidRDefault="00821279" w:rsidP="00821279"/>
    <w:p w14:paraId="61DA1705" w14:textId="77777777" w:rsidR="00821279" w:rsidRDefault="00821279" w:rsidP="00821279"/>
    <w:p w14:paraId="06B20119" w14:textId="77777777" w:rsidR="00821279" w:rsidRDefault="00821279" w:rsidP="00821279"/>
    <w:p w14:paraId="75E0CD3B" w14:textId="77777777" w:rsidR="00821279" w:rsidRDefault="00821279" w:rsidP="00821279"/>
    <w:p w14:paraId="4C2E56A1" w14:textId="77777777" w:rsidR="00821279" w:rsidRDefault="00821279" w:rsidP="00821279"/>
    <w:p w14:paraId="28BE449E" w14:textId="77777777" w:rsidR="00821279" w:rsidRDefault="00821279" w:rsidP="00821279"/>
    <w:p w14:paraId="265B2AFB" w14:textId="77777777" w:rsidR="00821279" w:rsidRDefault="00821279" w:rsidP="00821279"/>
    <w:p w14:paraId="128CA0E6" w14:textId="77777777" w:rsidR="00821279" w:rsidRPr="00821279" w:rsidRDefault="00821279" w:rsidP="00821279"/>
    <w:p w14:paraId="3805567F" w14:textId="77777777" w:rsidR="004146CE" w:rsidRPr="00D45713" w:rsidRDefault="004146CE" w:rsidP="004146CE">
      <w:pPr>
        <w:pStyle w:val="Heading1"/>
        <w:rPr>
          <w:rFonts w:asciiTheme="minorHAnsi" w:hAnsiTheme="minorHAnsi" w:cstheme="minorHAnsi"/>
          <w:b/>
          <w:sz w:val="28"/>
          <w:szCs w:val="28"/>
        </w:rPr>
      </w:pPr>
      <w:bookmarkStart w:id="12" w:name="_Toc384307548"/>
      <w:bookmarkStart w:id="13" w:name="_Toc414973051"/>
      <w:r w:rsidRPr="00D45713">
        <w:rPr>
          <w:rFonts w:asciiTheme="minorHAnsi" w:hAnsiTheme="minorHAnsi" w:cstheme="minorHAnsi"/>
          <w:b/>
          <w:sz w:val="28"/>
          <w:szCs w:val="28"/>
        </w:rPr>
        <w:t>Conclusions</w:t>
      </w:r>
      <w:bookmarkEnd w:id="12"/>
      <w:bookmarkEnd w:id="13"/>
    </w:p>
    <w:p w14:paraId="3FD40FCB" w14:textId="77777777" w:rsidR="004146CE" w:rsidRDefault="00D650DE" w:rsidP="00D80C7B">
      <w:pPr>
        <w:jc w:val="both"/>
        <w:rPr>
          <w:rFonts w:asciiTheme="minorHAnsi" w:hAnsiTheme="minorHAnsi"/>
          <w:bCs/>
          <w:szCs w:val="24"/>
        </w:rPr>
      </w:pPr>
      <w:r>
        <w:rPr>
          <w:rFonts w:asciiTheme="minorHAnsi" w:hAnsiTheme="minorHAnsi"/>
          <w:bCs/>
          <w:szCs w:val="24"/>
        </w:rPr>
        <w:t xml:space="preserve">In conclusion, results from this global profiling study demonstrated pronounced metabolic changes in lung tissue </w:t>
      </w:r>
      <w:r w:rsidR="00C95031">
        <w:rPr>
          <w:rFonts w:asciiTheme="minorHAnsi" w:hAnsiTheme="minorHAnsi"/>
          <w:bCs/>
          <w:szCs w:val="24"/>
        </w:rPr>
        <w:t>and serum resulting from treatment</w:t>
      </w:r>
      <w:r>
        <w:rPr>
          <w:rFonts w:asciiTheme="minorHAnsi" w:hAnsiTheme="minorHAnsi"/>
          <w:bCs/>
          <w:szCs w:val="24"/>
        </w:rPr>
        <w:t xml:space="preserve"> with Abx and/or exposure to ozone in mice.  In particular, treatment with both Abx and ozone appears to have a synergistic effect with regard to increased hepatotoxicity and changes in the oxidative environment, </w:t>
      </w:r>
      <w:r w:rsidR="00C95031">
        <w:rPr>
          <w:rFonts w:asciiTheme="minorHAnsi" w:hAnsiTheme="minorHAnsi"/>
          <w:bCs/>
          <w:szCs w:val="24"/>
        </w:rPr>
        <w:t>induction of</w:t>
      </w:r>
      <w:r>
        <w:rPr>
          <w:rFonts w:asciiTheme="minorHAnsi" w:hAnsiTheme="minorHAnsi"/>
          <w:bCs/>
          <w:szCs w:val="24"/>
        </w:rPr>
        <w:t xml:space="preserve"> differential changes in lipid metabolism (possibly through altered lipolysis), and </w:t>
      </w:r>
      <w:r w:rsidR="00C95031">
        <w:rPr>
          <w:rFonts w:asciiTheme="minorHAnsi" w:hAnsiTheme="minorHAnsi"/>
          <w:bCs/>
          <w:szCs w:val="24"/>
        </w:rPr>
        <w:t>alterations in</w:t>
      </w:r>
      <w:r w:rsidR="00A02B35">
        <w:rPr>
          <w:rFonts w:asciiTheme="minorHAnsi" w:hAnsiTheme="minorHAnsi"/>
          <w:bCs/>
          <w:szCs w:val="24"/>
        </w:rPr>
        <w:t xml:space="preserve"> systemic polyamine metabolism that may </w:t>
      </w:r>
      <w:r w:rsidR="00C95031">
        <w:rPr>
          <w:rFonts w:asciiTheme="minorHAnsi" w:hAnsiTheme="minorHAnsi"/>
          <w:bCs/>
          <w:szCs w:val="24"/>
        </w:rPr>
        <w:t>decrease</w:t>
      </w:r>
      <w:r w:rsidR="00A02B35">
        <w:rPr>
          <w:rFonts w:asciiTheme="minorHAnsi" w:hAnsiTheme="minorHAnsi"/>
          <w:bCs/>
          <w:szCs w:val="24"/>
        </w:rPr>
        <w:t xml:space="preserve"> protection from negative effects of ozone exposure.  Importantly, select results from the current study suggest that ozone treatment may not consistently induce pro-oxidative and pro-inflammatory effects as may be expected from this strong oxidizing agent.  Follow-up studies investigating long-term exposure to ozone subsequent to treatment with Abx may reveal differential changes in lung tissue and serum metabolic profiles </w:t>
      </w:r>
      <w:r w:rsidR="0038578F">
        <w:rPr>
          <w:rFonts w:asciiTheme="minorHAnsi" w:hAnsiTheme="minorHAnsi"/>
          <w:bCs/>
          <w:szCs w:val="24"/>
        </w:rPr>
        <w:t>as compared to the short-term exposure paradigm tested in the current study.</w:t>
      </w:r>
      <w:r w:rsidR="00A02B35">
        <w:rPr>
          <w:rFonts w:asciiTheme="minorHAnsi" w:hAnsiTheme="minorHAnsi"/>
          <w:bCs/>
          <w:szCs w:val="24"/>
        </w:rPr>
        <w:t xml:space="preserve">     </w:t>
      </w:r>
    </w:p>
    <w:p w14:paraId="456EA76D" w14:textId="77777777" w:rsidR="004146CE" w:rsidRDefault="004146CE" w:rsidP="00D80C7B">
      <w:pPr>
        <w:jc w:val="both"/>
        <w:rPr>
          <w:rFonts w:asciiTheme="minorHAnsi" w:hAnsiTheme="minorHAnsi"/>
          <w:bCs/>
          <w:szCs w:val="24"/>
        </w:rPr>
      </w:pPr>
    </w:p>
    <w:p w14:paraId="4119E1C8" w14:textId="77777777" w:rsidR="00821279" w:rsidRDefault="00821279" w:rsidP="00D80C7B">
      <w:pPr>
        <w:jc w:val="both"/>
        <w:rPr>
          <w:rFonts w:asciiTheme="minorHAnsi" w:hAnsiTheme="minorHAnsi"/>
          <w:bCs/>
          <w:szCs w:val="24"/>
        </w:rPr>
      </w:pPr>
    </w:p>
    <w:p w14:paraId="18F77FB0" w14:textId="77777777" w:rsidR="00821279" w:rsidRDefault="00821279" w:rsidP="00D80C7B">
      <w:pPr>
        <w:jc w:val="both"/>
        <w:rPr>
          <w:rFonts w:asciiTheme="minorHAnsi" w:hAnsiTheme="minorHAnsi"/>
          <w:bCs/>
          <w:szCs w:val="24"/>
        </w:rPr>
      </w:pPr>
    </w:p>
    <w:p w14:paraId="69EA4818" w14:textId="77777777" w:rsidR="00821279" w:rsidRDefault="00821279" w:rsidP="00D80C7B">
      <w:pPr>
        <w:jc w:val="both"/>
        <w:rPr>
          <w:rFonts w:asciiTheme="minorHAnsi" w:hAnsiTheme="minorHAnsi"/>
          <w:bCs/>
          <w:szCs w:val="24"/>
        </w:rPr>
      </w:pPr>
    </w:p>
    <w:p w14:paraId="5BDCB3A8" w14:textId="77777777" w:rsidR="00821279" w:rsidRDefault="00821279" w:rsidP="00D80C7B">
      <w:pPr>
        <w:jc w:val="both"/>
        <w:rPr>
          <w:rFonts w:asciiTheme="minorHAnsi" w:hAnsiTheme="minorHAnsi"/>
          <w:bCs/>
          <w:szCs w:val="24"/>
        </w:rPr>
      </w:pPr>
    </w:p>
    <w:p w14:paraId="3CE5264C" w14:textId="77777777" w:rsidR="00DB4C08" w:rsidRDefault="00DB4C08" w:rsidP="00D80C7B">
      <w:pPr>
        <w:jc w:val="both"/>
        <w:rPr>
          <w:rFonts w:asciiTheme="minorHAnsi" w:hAnsiTheme="minorHAnsi"/>
          <w:bCs/>
          <w:szCs w:val="24"/>
        </w:rPr>
        <w:sectPr w:rsidR="00DB4C08" w:rsidSect="0051166C">
          <w:pgSz w:w="12240" w:h="15840"/>
          <w:pgMar w:top="1440" w:right="1440" w:bottom="1440" w:left="1440" w:header="720" w:footer="720" w:gutter="0"/>
          <w:cols w:space="720"/>
          <w:docGrid w:linePitch="360"/>
        </w:sectPr>
      </w:pPr>
    </w:p>
    <w:p w14:paraId="3DFB0B86" w14:textId="77777777" w:rsidR="004146CE" w:rsidRPr="00D45713" w:rsidRDefault="004146CE" w:rsidP="00DB4C08">
      <w:pPr>
        <w:pStyle w:val="Heading1"/>
        <w:rPr>
          <w:rFonts w:asciiTheme="minorHAnsi" w:hAnsiTheme="minorHAnsi" w:cstheme="minorHAnsi"/>
          <w:b/>
          <w:sz w:val="28"/>
          <w:szCs w:val="28"/>
        </w:rPr>
      </w:pPr>
      <w:bookmarkStart w:id="14" w:name="_Toc384307549"/>
      <w:bookmarkStart w:id="15" w:name="_Toc414973052"/>
      <w:r w:rsidRPr="00D45713">
        <w:rPr>
          <w:rFonts w:asciiTheme="minorHAnsi" w:hAnsiTheme="minorHAnsi" w:cstheme="minorHAnsi"/>
          <w:b/>
          <w:sz w:val="28"/>
          <w:szCs w:val="28"/>
        </w:rPr>
        <w:lastRenderedPageBreak/>
        <w:t>Study Parameters</w:t>
      </w:r>
      <w:bookmarkEnd w:id="14"/>
      <w:bookmarkEnd w:id="15"/>
    </w:p>
    <w:p w14:paraId="62F5EC51" w14:textId="77777777" w:rsidR="004146CE" w:rsidRPr="00223A57" w:rsidRDefault="004146CE" w:rsidP="00C15DDE">
      <w:pPr>
        <w:pStyle w:val="Heading2"/>
        <w:spacing w:before="480" w:after="480"/>
      </w:pPr>
      <w:bookmarkStart w:id="16" w:name="_Toc384307550"/>
      <w:bookmarkStart w:id="17" w:name="_Toc414973053"/>
      <w:r w:rsidRPr="00223A57">
        <w:t xml:space="preserve">Data </w:t>
      </w:r>
      <w:r w:rsidRPr="00E57B70">
        <w:t>Quality</w:t>
      </w:r>
      <w:r w:rsidRPr="00223A57">
        <w:t>: Instrument and Process Variability</w:t>
      </w:r>
      <w:bookmarkEnd w:id="16"/>
      <w:bookmarkEnd w:id="17"/>
    </w:p>
    <w:tbl>
      <w:tblPr>
        <w:tblW w:w="8159" w:type="dxa"/>
        <w:jc w:val="center"/>
        <w:tblBorders>
          <w:top w:val="single" w:sz="18" w:space="0" w:color="000000"/>
          <w:bottom w:val="single" w:sz="18" w:space="0" w:color="000000"/>
          <w:insideH w:val="single" w:sz="8" w:space="0" w:color="000000"/>
          <w:insideV w:val="single" w:sz="8" w:space="0" w:color="000000"/>
        </w:tblBorders>
        <w:tblCellMar>
          <w:left w:w="144" w:type="dxa"/>
          <w:right w:w="0" w:type="dxa"/>
        </w:tblCellMar>
        <w:tblLook w:val="04A0" w:firstRow="1" w:lastRow="0" w:firstColumn="1" w:lastColumn="0" w:noHBand="0" w:noVBand="1"/>
      </w:tblPr>
      <w:tblGrid>
        <w:gridCol w:w="3105"/>
        <w:gridCol w:w="2854"/>
        <w:gridCol w:w="1100"/>
        <w:gridCol w:w="1100"/>
      </w:tblGrid>
      <w:tr w:rsidR="002312AA" w:rsidRPr="00071D6B" w14:paraId="5EBE4560" w14:textId="77777777" w:rsidTr="002312AA">
        <w:trPr>
          <w:trHeight w:val="293"/>
          <w:jc w:val="center"/>
        </w:trPr>
        <w:tc>
          <w:tcPr>
            <w:tcW w:w="3105" w:type="dxa"/>
            <w:vMerge w:val="restart"/>
            <w:tcBorders>
              <w:top w:val="single" w:sz="18" w:space="0" w:color="000000"/>
            </w:tcBorders>
            <w:shd w:val="clear" w:color="auto" w:fill="B8CCE4" w:themeFill="accent1" w:themeFillTint="66"/>
            <w:tcMar>
              <w:top w:w="15" w:type="dxa"/>
              <w:left w:w="15" w:type="dxa"/>
              <w:bottom w:w="0" w:type="dxa"/>
              <w:right w:w="15" w:type="dxa"/>
            </w:tcMar>
            <w:vAlign w:val="center"/>
            <w:hideMark/>
          </w:tcPr>
          <w:p w14:paraId="0F77DB10" w14:textId="77777777" w:rsidR="002312AA" w:rsidRPr="003E071D" w:rsidRDefault="002312AA" w:rsidP="00DB4C08">
            <w:pPr>
              <w:jc w:val="center"/>
              <w:rPr>
                <w:rFonts w:asciiTheme="minorHAnsi" w:hAnsiTheme="minorHAnsi" w:cs="Arial"/>
                <w:szCs w:val="24"/>
              </w:rPr>
            </w:pPr>
            <w:r w:rsidRPr="003E071D">
              <w:rPr>
                <w:rFonts w:asciiTheme="minorHAnsi" w:hAnsiTheme="minorHAnsi" w:cs="Arial"/>
                <w:b/>
                <w:bCs/>
                <w:i/>
                <w:iCs/>
                <w:szCs w:val="24"/>
              </w:rPr>
              <w:t>QC Sample</w:t>
            </w:r>
          </w:p>
        </w:tc>
        <w:tc>
          <w:tcPr>
            <w:tcW w:w="2854" w:type="dxa"/>
            <w:vMerge w:val="restart"/>
            <w:tcBorders>
              <w:top w:val="single" w:sz="18" w:space="0" w:color="000000"/>
            </w:tcBorders>
            <w:shd w:val="clear" w:color="auto" w:fill="B8CCE4" w:themeFill="accent1" w:themeFillTint="66"/>
            <w:tcMar>
              <w:top w:w="15" w:type="dxa"/>
              <w:left w:w="15" w:type="dxa"/>
              <w:bottom w:w="0" w:type="dxa"/>
              <w:right w:w="15" w:type="dxa"/>
            </w:tcMar>
            <w:vAlign w:val="center"/>
            <w:hideMark/>
          </w:tcPr>
          <w:p w14:paraId="041B9D0E" w14:textId="77777777" w:rsidR="002312AA" w:rsidRPr="003E071D" w:rsidRDefault="002312AA" w:rsidP="00DB4C08">
            <w:pPr>
              <w:jc w:val="center"/>
              <w:rPr>
                <w:rFonts w:asciiTheme="minorHAnsi" w:hAnsiTheme="minorHAnsi" w:cs="Arial"/>
                <w:szCs w:val="24"/>
              </w:rPr>
            </w:pPr>
            <w:r w:rsidRPr="003E071D">
              <w:rPr>
                <w:rFonts w:asciiTheme="minorHAnsi" w:hAnsiTheme="minorHAnsi" w:cs="Arial"/>
                <w:b/>
                <w:bCs/>
                <w:i/>
                <w:iCs/>
                <w:szCs w:val="24"/>
              </w:rPr>
              <w:t>Measurement</w:t>
            </w:r>
          </w:p>
        </w:tc>
        <w:tc>
          <w:tcPr>
            <w:tcW w:w="2200" w:type="dxa"/>
            <w:gridSpan w:val="2"/>
            <w:tcBorders>
              <w:top w:val="single" w:sz="18" w:space="0" w:color="000000"/>
              <w:bottom w:val="nil"/>
            </w:tcBorders>
            <w:shd w:val="clear" w:color="auto" w:fill="B8CCE4" w:themeFill="accent1" w:themeFillTint="66"/>
            <w:tcMar>
              <w:top w:w="15" w:type="dxa"/>
              <w:left w:w="15" w:type="dxa"/>
              <w:bottom w:w="0" w:type="dxa"/>
              <w:right w:w="15" w:type="dxa"/>
            </w:tcMar>
            <w:vAlign w:val="center"/>
            <w:hideMark/>
          </w:tcPr>
          <w:p w14:paraId="3264C3F4" w14:textId="77777777" w:rsidR="002312AA" w:rsidRPr="003E071D" w:rsidRDefault="002312AA" w:rsidP="00DB4C08">
            <w:pPr>
              <w:jc w:val="center"/>
              <w:rPr>
                <w:rFonts w:asciiTheme="minorHAnsi" w:hAnsiTheme="minorHAnsi" w:cs="Arial"/>
                <w:szCs w:val="24"/>
              </w:rPr>
            </w:pPr>
            <w:r w:rsidRPr="00507C5D">
              <w:rPr>
                <w:rFonts w:asciiTheme="minorHAnsi" w:hAnsiTheme="minorHAnsi" w:cs="Arial"/>
                <w:b/>
                <w:bCs/>
                <w:i/>
                <w:iCs/>
                <w:szCs w:val="24"/>
              </w:rPr>
              <w:t>Median RSD</w:t>
            </w:r>
            <w:r w:rsidRPr="003E071D">
              <w:rPr>
                <w:rFonts w:asciiTheme="minorHAnsi" w:hAnsiTheme="minorHAnsi" w:cs="Arial"/>
                <w:b/>
                <w:bCs/>
                <w:i/>
                <w:iCs/>
                <w:szCs w:val="24"/>
              </w:rPr>
              <w:t xml:space="preserve"> </w:t>
            </w:r>
          </w:p>
        </w:tc>
      </w:tr>
      <w:tr w:rsidR="002312AA" w:rsidRPr="00071D6B" w14:paraId="3CF47F03" w14:textId="77777777" w:rsidTr="002312AA">
        <w:trPr>
          <w:trHeight w:val="390"/>
          <w:jc w:val="center"/>
        </w:trPr>
        <w:tc>
          <w:tcPr>
            <w:tcW w:w="3105" w:type="dxa"/>
            <w:vMerge/>
            <w:tcBorders>
              <w:bottom w:val="single" w:sz="8" w:space="0" w:color="000000"/>
            </w:tcBorders>
            <w:shd w:val="clear" w:color="auto" w:fill="B8CCE4" w:themeFill="accent1" w:themeFillTint="66"/>
            <w:tcMar>
              <w:top w:w="15" w:type="dxa"/>
              <w:left w:w="15" w:type="dxa"/>
              <w:bottom w:w="0" w:type="dxa"/>
              <w:right w:w="15" w:type="dxa"/>
            </w:tcMar>
            <w:vAlign w:val="center"/>
            <w:hideMark/>
          </w:tcPr>
          <w:p w14:paraId="447856A1" w14:textId="77777777" w:rsidR="002312AA" w:rsidRPr="003E071D" w:rsidRDefault="002312AA" w:rsidP="00DB4C08">
            <w:pPr>
              <w:jc w:val="center"/>
              <w:rPr>
                <w:rFonts w:asciiTheme="minorHAnsi" w:hAnsiTheme="minorHAnsi" w:cs="Arial"/>
                <w:b/>
                <w:bCs/>
                <w:i/>
                <w:iCs/>
                <w:szCs w:val="24"/>
              </w:rPr>
            </w:pPr>
          </w:p>
        </w:tc>
        <w:tc>
          <w:tcPr>
            <w:tcW w:w="2854" w:type="dxa"/>
            <w:vMerge/>
            <w:tcBorders>
              <w:bottom w:val="single" w:sz="8" w:space="0" w:color="000000"/>
            </w:tcBorders>
            <w:shd w:val="clear" w:color="auto" w:fill="B8CCE4" w:themeFill="accent1" w:themeFillTint="66"/>
            <w:tcMar>
              <w:top w:w="15" w:type="dxa"/>
              <w:left w:w="15" w:type="dxa"/>
              <w:bottom w:w="0" w:type="dxa"/>
              <w:right w:w="15" w:type="dxa"/>
            </w:tcMar>
            <w:vAlign w:val="center"/>
            <w:hideMark/>
          </w:tcPr>
          <w:p w14:paraId="57A047C3" w14:textId="77777777" w:rsidR="002312AA" w:rsidRPr="003E071D" w:rsidRDefault="002312AA" w:rsidP="00DB4C08">
            <w:pPr>
              <w:jc w:val="center"/>
              <w:rPr>
                <w:rFonts w:asciiTheme="minorHAnsi" w:hAnsiTheme="minorHAnsi" w:cs="Arial"/>
                <w:b/>
                <w:bCs/>
                <w:i/>
                <w:iCs/>
                <w:szCs w:val="24"/>
              </w:rPr>
            </w:pPr>
          </w:p>
        </w:tc>
        <w:tc>
          <w:tcPr>
            <w:tcW w:w="1100" w:type="dxa"/>
            <w:tcBorders>
              <w:top w:val="nil"/>
              <w:bottom w:val="single" w:sz="8" w:space="0" w:color="000000"/>
            </w:tcBorders>
            <w:shd w:val="clear" w:color="auto" w:fill="B8CCE4" w:themeFill="accent1" w:themeFillTint="66"/>
            <w:tcMar>
              <w:top w:w="15" w:type="dxa"/>
              <w:left w:w="15" w:type="dxa"/>
              <w:bottom w:w="0" w:type="dxa"/>
              <w:right w:w="15" w:type="dxa"/>
            </w:tcMar>
            <w:vAlign w:val="center"/>
            <w:hideMark/>
          </w:tcPr>
          <w:p w14:paraId="3AEDE58C" w14:textId="77777777" w:rsidR="002312AA" w:rsidRPr="00507C5D" w:rsidRDefault="002312AA" w:rsidP="00DB4C08">
            <w:pPr>
              <w:jc w:val="center"/>
              <w:rPr>
                <w:rFonts w:asciiTheme="minorHAnsi" w:hAnsiTheme="minorHAnsi" w:cs="Arial"/>
                <w:b/>
                <w:bCs/>
                <w:i/>
                <w:iCs/>
                <w:szCs w:val="24"/>
              </w:rPr>
            </w:pPr>
            <w:r>
              <w:rPr>
                <w:rFonts w:asciiTheme="minorHAnsi" w:hAnsiTheme="minorHAnsi" w:cs="Arial"/>
                <w:b/>
                <w:bCs/>
                <w:i/>
                <w:iCs/>
                <w:szCs w:val="24"/>
              </w:rPr>
              <w:t>Lung</w:t>
            </w:r>
          </w:p>
        </w:tc>
        <w:tc>
          <w:tcPr>
            <w:tcW w:w="1100" w:type="dxa"/>
            <w:tcBorders>
              <w:top w:val="nil"/>
              <w:bottom w:val="single" w:sz="8" w:space="0" w:color="000000"/>
            </w:tcBorders>
            <w:shd w:val="clear" w:color="auto" w:fill="B8CCE4" w:themeFill="accent1" w:themeFillTint="66"/>
            <w:vAlign w:val="center"/>
          </w:tcPr>
          <w:p w14:paraId="538C004D" w14:textId="77777777" w:rsidR="002312AA" w:rsidRPr="00507C5D" w:rsidRDefault="002312AA" w:rsidP="002312AA">
            <w:pPr>
              <w:jc w:val="center"/>
              <w:rPr>
                <w:rFonts w:asciiTheme="minorHAnsi" w:hAnsiTheme="minorHAnsi" w:cs="Arial"/>
                <w:b/>
                <w:bCs/>
                <w:i/>
                <w:iCs/>
                <w:szCs w:val="24"/>
              </w:rPr>
            </w:pPr>
            <w:r>
              <w:rPr>
                <w:rFonts w:asciiTheme="minorHAnsi" w:hAnsiTheme="minorHAnsi" w:cs="Arial"/>
                <w:b/>
                <w:bCs/>
                <w:i/>
                <w:iCs/>
                <w:szCs w:val="24"/>
              </w:rPr>
              <w:t>Serum</w:t>
            </w:r>
          </w:p>
        </w:tc>
      </w:tr>
      <w:tr w:rsidR="002312AA" w:rsidRPr="00071D6B" w14:paraId="1549FB9C" w14:textId="77777777" w:rsidTr="002312AA">
        <w:trPr>
          <w:trHeight w:val="432"/>
          <w:jc w:val="center"/>
        </w:trPr>
        <w:tc>
          <w:tcPr>
            <w:tcW w:w="3105" w:type="dxa"/>
            <w:tcBorders>
              <w:top w:val="single" w:sz="8" w:space="0" w:color="000000"/>
            </w:tcBorders>
            <w:shd w:val="clear" w:color="auto" w:fill="auto"/>
            <w:tcMar>
              <w:top w:w="15" w:type="dxa"/>
              <w:left w:w="15" w:type="dxa"/>
              <w:bottom w:w="0" w:type="dxa"/>
              <w:right w:w="15" w:type="dxa"/>
            </w:tcMar>
            <w:vAlign w:val="center"/>
            <w:hideMark/>
          </w:tcPr>
          <w:p w14:paraId="0AB9654B" w14:textId="77777777" w:rsidR="002312AA" w:rsidRPr="003E071D" w:rsidRDefault="002312AA" w:rsidP="00DB4C08">
            <w:pPr>
              <w:jc w:val="center"/>
              <w:rPr>
                <w:rFonts w:asciiTheme="minorHAnsi" w:hAnsiTheme="minorHAnsi" w:cs="Arial"/>
                <w:szCs w:val="24"/>
              </w:rPr>
            </w:pPr>
            <w:r w:rsidRPr="003E071D">
              <w:rPr>
                <w:rFonts w:asciiTheme="minorHAnsi" w:hAnsiTheme="minorHAnsi" w:cs="Arial"/>
                <w:szCs w:val="24"/>
              </w:rPr>
              <w:t>Internal Standards</w:t>
            </w:r>
          </w:p>
        </w:tc>
        <w:tc>
          <w:tcPr>
            <w:tcW w:w="2854" w:type="dxa"/>
            <w:tcBorders>
              <w:top w:val="single" w:sz="8" w:space="0" w:color="000000"/>
            </w:tcBorders>
            <w:shd w:val="clear" w:color="auto" w:fill="auto"/>
            <w:tcMar>
              <w:top w:w="15" w:type="dxa"/>
              <w:left w:w="15" w:type="dxa"/>
              <w:bottom w:w="0" w:type="dxa"/>
              <w:right w:w="15" w:type="dxa"/>
            </w:tcMar>
            <w:vAlign w:val="center"/>
            <w:hideMark/>
          </w:tcPr>
          <w:p w14:paraId="056FA180" w14:textId="77777777" w:rsidR="002312AA" w:rsidRPr="003E071D" w:rsidRDefault="002312AA" w:rsidP="00DB4C08">
            <w:pPr>
              <w:jc w:val="center"/>
              <w:rPr>
                <w:rFonts w:asciiTheme="minorHAnsi" w:hAnsiTheme="minorHAnsi" w:cs="Arial"/>
                <w:szCs w:val="24"/>
              </w:rPr>
            </w:pPr>
            <w:r w:rsidRPr="003E071D">
              <w:rPr>
                <w:rFonts w:asciiTheme="minorHAnsi" w:hAnsiTheme="minorHAnsi" w:cs="Arial"/>
                <w:szCs w:val="24"/>
              </w:rPr>
              <w:t>Instrument Variability</w:t>
            </w:r>
          </w:p>
        </w:tc>
        <w:tc>
          <w:tcPr>
            <w:tcW w:w="1100" w:type="dxa"/>
            <w:tcBorders>
              <w:top w:val="single" w:sz="8" w:space="0" w:color="000000"/>
            </w:tcBorders>
            <w:shd w:val="clear" w:color="auto" w:fill="auto"/>
            <w:tcMar>
              <w:top w:w="15" w:type="dxa"/>
              <w:left w:w="15" w:type="dxa"/>
              <w:bottom w:w="0" w:type="dxa"/>
              <w:right w:w="15" w:type="dxa"/>
            </w:tcMar>
            <w:vAlign w:val="center"/>
            <w:hideMark/>
          </w:tcPr>
          <w:p w14:paraId="26936845" w14:textId="77777777" w:rsidR="002312AA" w:rsidRPr="00F351C4" w:rsidRDefault="002312AA" w:rsidP="00DB4C08">
            <w:pPr>
              <w:jc w:val="center"/>
              <w:rPr>
                <w:rFonts w:asciiTheme="minorHAnsi" w:hAnsiTheme="minorHAnsi" w:cs="Arial"/>
                <w:szCs w:val="24"/>
              </w:rPr>
            </w:pPr>
            <w:r>
              <w:rPr>
                <w:rFonts w:asciiTheme="minorHAnsi" w:hAnsiTheme="minorHAnsi" w:cs="Arial"/>
                <w:szCs w:val="24"/>
              </w:rPr>
              <w:t>5 %</w:t>
            </w:r>
          </w:p>
        </w:tc>
        <w:tc>
          <w:tcPr>
            <w:tcW w:w="1100" w:type="dxa"/>
            <w:tcBorders>
              <w:top w:val="single" w:sz="8" w:space="0" w:color="000000"/>
            </w:tcBorders>
            <w:shd w:val="clear" w:color="auto" w:fill="auto"/>
            <w:vAlign w:val="center"/>
          </w:tcPr>
          <w:p w14:paraId="0013DE76" w14:textId="77777777" w:rsidR="002312AA" w:rsidRPr="00F351C4" w:rsidRDefault="002312AA" w:rsidP="0024288F">
            <w:pPr>
              <w:jc w:val="center"/>
              <w:rPr>
                <w:rFonts w:asciiTheme="minorHAnsi" w:hAnsiTheme="minorHAnsi" w:cs="Arial"/>
                <w:szCs w:val="24"/>
              </w:rPr>
            </w:pPr>
            <w:r>
              <w:rPr>
                <w:rFonts w:asciiTheme="minorHAnsi" w:hAnsiTheme="minorHAnsi" w:cs="Arial"/>
                <w:szCs w:val="24"/>
              </w:rPr>
              <w:t>6 %</w:t>
            </w:r>
          </w:p>
        </w:tc>
      </w:tr>
      <w:tr w:rsidR="002312AA" w:rsidRPr="00071D6B" w14:paraId="3E733EBB" w14:textId="77777777" w:rsidTr="002312AA">
        <w:trPr>
          <w:trHeight w:val="432"/>
          <w:jc w:val="center"/>
        </w:trPr>
        <w:tc>
          <w:tcPr>
            <w:tcW w:w="3105" w:type="dxa"/>
            <w:shd w:val="clear" w:color="auto" w:fill="auto"/>
            <w:tcMar>
              <w:top w:w="15" w:type="dxa"/>
              <w:left w:w="15" w:type="dxa"/>
              <w:bottom w:w="0" w:type="dxa"/>
              <w:right w:w="15" w:type="dxa"/>
            </w:tcMar>
            <w:vAlign w:val="center"/>
            <w:hideMark/>
          </w:tcPr>
          <w:p w14:paraId="52463FA0" w14:textId="77777777" w:rsidR="002312AA" w:rsidRPr="003E071D" w:rsidRDefault="002312AA" w:rsidP="00DB4C08">
            <w:pPr>
              <w:jc w:val="center"/>
              <w:rPr>
                <w:rFonts w:asciiTheme="minorHAnsi" w:hAnsiTheme="minorHAnsi" w:cs="Arial"/>
                <w:szCs w:val="24"/>
              </w:rPr>
            </w:pPr>
            <w:r w:rsidRPr="003E071D">
              <w:rPr>
                <w:rFonts w:asciiTheme="minorHAnsi" w:hAnsiTheme="minorHAnsi" w:cs="Arial"/>
                <w:szCs w:val="24"/>
              </w:rPr>
              <w:t>Endogenous Biochemicals</w:t>
            </w:r>
          </w:p>
        </w:tc>
        <w:tc>
          <w:tcPr>
            <w:tcW w:w="2854" w:type="dxa"/>
            <w:shd w:val="clear" w:color="auto" w:fill="auto"/>
            <w:tcMar>
              <w:top w:w="15" w:type="dxa"/>
              <w:left w:w="15" w:type="dxa"/>
              <w:bottom w:w="0" w:type="dxa"/>
              <w:right w:w="15" w:type="dxa"/>
            </w:tcMar>
            <w:vAlign w:val="center"/>
            <w:hideMark/>
          </w:tcPr>
          <w:p w14:paraId="6C03CE35" w14:textId="77777777" w:rsidR="002312AA" w:rsidRPr="003E071D" w:rsidRDefault="002312AA" w:rsidP="00DB4C08">
            <w:pPr>
              <w:jc w:val="center"/>
              <w:rPr>
                <w:rFonts w:asciiTheme="minorHAnsi" w:hAnsiTheme="minorHAnsi" w:cs="Arial"/>
                <w:szCs w:val="24"/>
              </w:rPr>
            </w:pPr>
            <w:r w:rsidRPr="003E071D">
              <w:rPr>
                <w:rFonts w:asciiTheme="minorHAnsi" w:hAnsiTheme="minorHAnsi" w:cs="Arial"/>
                <w:szCs w:val="24"/>
              </w:rPr>
              <w:t>Total Process Variability</w:t>
            </w:r>
          </w:p>
        </w:tc>
        <w:tc>
          <w:tcPr>
            <w:tcW w:w="1100" w:type="dxa"/>
            <w:shd w:val="clear" w:color="auto" w:fill="auto"/>
            <w:tcMar>
              <w:top w:w="15" w:type="dxa"/>
              <w:left w:w="15" w:type="dxa"/>
              <w:bottom w:w="0" w:type="dxa"/>
              <w:right w:w="15" w:type="dxa"/>
            </w:tcMar>
            <w:vAlign w:val="center"/>
            <w:hideMark/>
          </w:tcPr>
          <w:p w14:paraId="690AC342" w14:textId="77777777" w:rsidR="002312AA" w:rsidRPr="00F351C4" w:rsidRDefault="002312AA" w:rsidP="00DB4C08">
            <w:pPr>
              <w:jc w:val="center"/>
              <w:rPr>
                <w:rFonts w:asciiTheme="minorHAnsi" w:hAnsiTheme="minorHAnsi" w:cs="Arial"/>
                <w:szCs w:val="24"/>
              </w:rPr>
            </w:pPr>
            <w:r>
              <w:rPr>
                <w:rFonts w:asciiTheme="minorHAnsi" w:hAnsiTheme="minorHAnsi" w:cs="Arial"/>
                <w:szCs w:val="24"/>
              </w:rPr>
              <w:t>9 %</w:t>
            </w:r>
          </w:p>
        </w:tc>
        <w:tc>
          <w:tcPr>
            <w:tcW w:w="1100" w:type="dxa"/>
            <w:shd w:val="clear" w:color="auto" w:fill="auto"/>
            <w:vAlign w:val="center"/>
          </w:tcPr>
          <w:p w14:paraId="5CF1AC7E" w14:textId="77777777" w:rsidR="002312AA" w:rsidRPr="00F351C4" w:rsidRDefault="002312AA" w:rsidP="0024288F">
            <w:pPr>
              <w:jc w:val="center"/>
              <w:rPr>
                <w:rFonts w:asciiTheme="minorHAnsi" w:hAnsiTheme="minorHAnsi" w:cs="Arial"/>
                <w:szCs w:val="24"/>
              </w:rPr>
            </w:pPr>
            <w:r>
              <w:rPr>
                <w:rFonts w:asciiTheme="minorHAnsi" w:hAnsiTheme="minorHAnsi" w:cs="Arial"/>
                <w:szCs w:val="24"/>
              </w:rPr>
              <w:t>8 %</w:t>
            </w:r>
          </w:p>
        </w:tc>
      </w:tr>
    </w:tbl>
    <w:p w14:paraId="663A676B" w14:textId="77777777" w:rsidR="004D5084" w:rsidRDefault="004146CE" w:rsidP="00DB4C08">
      <w:pPr>
        <w:spacing w:before="360" w:after="360"/>
        <w:jc w:val="both"/>
        <w:rPr>
          <w:rFonts w:asciiTheme="minorHAnsi" w:hAnsiTheme="minorHAnsi"/>
          <w:bCs/>
          <w:szCs w:val="24"/>
        </w:rPr>
      </w:pPr>
      <w:r w:rsidRPr="0024452E">
        <w:rPr>
          <w:rFonts w:asciiTheme="minorHAnsi" w:hAnsiTheme="minorHAnsi"/>
        </w:rPr>
        <w:t xml:space="preserve">Instrument variability was determined by calculating the median relative standard deviation (RSD) for the internal standards that were added to each sample prior to injection into the mass spectrometers.  Overall process variability was determined by calculating the median RSD for all endogenous metabolites (i.e., non-instrument standards) present in 100% of the Client Matrix samples, which are technical replicates of pooled client samples.  Values for instrument and process variability </w:t>
      </w:r>
      <w:r w:rsidR="00DB4C08">
        <w:rPr>
          <w:rFonts w:asciiTheme="minorHAnsi" w:hAnsiTheme="minorHAnsi"/>
        </w:rPr>
        <w:t>as shown in the table above</w:t>
      </w:r>
      <w:r w:rsidR="00DB4C08" w:rsidRPr="0024452E">
        <w:rPr>
          <w:rFonts w:asciiTheme="minorHAnsi" w:hAnsiTheme="minorHAnsi"/>
        </w:rPr>
        <w:t xml:space="preserve"> </w:t>
      </w:r>
      <w:r w:rsidRPr="0024452E">
        <w:rPr>
          <w:rFonts w:asciiTheme="minorHAnsi" w:hAnsiTheme="minorHAnsi"/>
        </w:rPr>
        <w:t>meet Metabolon’s acceptance crite</w:t>
      </w:r>
      <w:r w:rsidR="00821279">
        <w:rPr>
          <w:rFonts w:asciiTheme="minorHAnsi" w:hAnsiTheme="minorHAnsi"/>
        </w:rPr>
        <w:t>ria</w:t>
      </w:r>
      <w:r w:rsidR="00DB4C08">
        <w:rPr>
          <w:rFonts w:asciiTheme="minorHAnsi" w:hAnsiTheme="minorHAnsi"/>
        </w:rPr>
        <w:t>.</w:t>
      </w:r>
    </w:p>
    <w:p w14:paraId="699E6BC1" w14:textId="77777777" w:rsidR="004A1D14" w:rsidRDefault="004A1D14" w:rsidP="00821279">
      <w:pPr>
        <w:jc w:val="center"/>
        <w:rPr>
          <w:rFonts w:asciiTheme="minorHAnsi" w:hAnsiTheme="minorHAnsi"/>
          <w:bCs/>
          <w:szCs w:val="24"/>
        </w:rPr>
      </w:pPr>
    </w:p>
    <w:p w14:paraId="7D98BCED" w14:textId="77777777" w:rsidR="0005718D" w:rsidRPr="00821279" w:rsidRDefault="0005718D" w:rsidP="00821279">
      <w:pPr>
        <w:jc w:val="center"/>
        <w:rPr>
          <w:rFonts w:asciiTheme="minorHAnsi" w:hAnsiTheme="minorHAnsi"/>
          <w:bCs/>
          <w:szCs w:val="24"/>
        </w:rPr>
        <w:sectPr w:rsidR="0005718D" w:rsidRPr="00821279" w:rsidSect="004A1D14">
          <w:pgSz w:w="12240" w:h="15840"/>
          <w:pgMar w:top="1440" w:right="1440" w:bottom="1440" w:left="1440" w:header="720" w:footer="720" w:gutter="0"/>
          <w:cols w:space="720"/>
          <w:docGrid w:linePitch="360"/>
        </w:sectPr>
      </w:pPr>
    </w:p>
    <w:p w14:paraId="6794CCED" w14:textId="77777777" w:rsidR="00F03CD3" w:rsidRPr="00D45713" w:rsidRDefault="00F03CD3" w:rsidP="00F03CD3">
      <w:pPr>
        <w:pStyle w:val="Heading1"/>
        <w:rPr>
          <w:rFonts w:asciiTheme="minorHAnsi" w:hAnsiTheme="minorHAnsi" w:cstheme="minorHAnsi"/>
          <w:b/>
          <w:sz w:val="28"/>
          <w:szCs w:val="28"/>
        </w:rPr>
      </w:pPr>
      <w:bookmarkStart w:id="18" w:name="_Toc384307551"/>
      <w:bookmarkStart w:id="19" w:name="_Toc384907854"/>
      <w:bookmarkStart w:id="20" w:name="_Toc414973054"/>
      <w:bookmarkStart w:id="21" w:name="_Toc194805258"/>
      <w:bookmarkStart w:id="22" w:name="_Toc244745571"/>
      <w:r w:rsidRPr="00D45713">
        <w:rPr>
          <w:rFonts w:asciiTheme="minorHAnsi" w:hAnsiTheme="minorHAnsi" w:cstheme="minorHAnsi"/>
          <w:b/>
          <w:sz w:val="28"/>
          <w:szCs w:val="28"/>
        </w:rPr>
        <w:lastRenderedPageBreak/>
        <w:t>Appendix</w:t>
      </w:r>
      <w:bookmarkEnd w:id="18"/>
      <w:bookmarkEnd w:id="19"/>
      <w:bookmarkEnd w:id="20"/>
      <w:r w:rsidRPr="00D45713">
        <w:rPr>
          <w:rFonts w:asciiTheme="minorHAnsi" w:hAnsiTheme="minorHAnsi" w:cstheme="minorHAnsi"/>
          <w:b/>
          <w:sz w:val="28"/>
          <w:szCs w:val="28"/>
        </w:rPr>
        <w:t xml:space="preserve"> </w:t>
      </w:r>
      <w:bookmarkEnd w:id="21"/>
      <w:bookmarkEnd w:id="22"/>
    </w:p>
    <w:p w14:paraId="5286919D" w14:textId="77777777" w:rsidR="00F03CD3" w:rsidRPr="00223A57" w:rsidRDefault="00F03CD3" w:rsidP="00E57B70">
      <w:pPr>
        <w:pStyle w:val="Heading2"/>
      </w:pPr>
      <w:bookmarkStart w:id="23" w:name="_Toc384307552"/>
      <w:bookmarkStart w:id="24" w:name="_Toc414973055"/>
      <w:r w:rsidRPr="00223A57">
        <w:t xml:space="preserve">Metabolon </w:t>
      </w:r>
      <w:r w:rsidRPr="00E57B70">
        <w:t>Platform</w:t>
      </w:r>
      <w:bookmarkEnd w:id="23"/>
      <w:bookmarkEnd w:id="24"/>
    </w:p>
    <w:p w14:paraId="0F8D14FF" w14:textId="77777777" w:rsidR="00F03CD3" w:rsidRPr="0015248A" w:rsidRDefault="00F03CD3" w:rsidP="00223A57">
      <w:pPr>
        <w:spacing w:before="240" w:after="240"/>
        <w:jc w:val="both"/>
        <w:rPr>
          <w:rFonts w:asciiTheme="minorHAnsi" w:hAnsiTheme="minorHAnsi" w:cstheme="minorHAnsi"/>
          <w:szCs w:val="24"/>
        </w:rPr>
      </w:pPr>
      <w:r w:rsidRPr="0015248A">
        <w:rPr>
          <w:rFonts w:asciiTheme="minorHAnsi" w:hAnsiTheme="minorHAnsi" w:cstheme="minorHAnsi"/>
          <w:b/>
          <w:szCs w:val="24"/>
        </w:rPr>
        <w:t>Sample Accessioning</w:t>
      </w:r>
      <w:r w:rsidRPr="0093471D">
        <w:rPr>
          <w:rFonts w:asciiTheme="minorHAnsi" w:hAnsiTheme="minorHAnsi" w:cstheme="minorHAnsi"/>
          <w:b/>
          <w:szCs w:val="24"/>
        </w:rPr>
        <w:t>:</w:t>
      </w:r>
      <w:r w:rsidRPr="0015248A">
        <w:rPr>
          <w:rFonts w:asciiTheme="minorHAnsi" w:hAnsiTheme="minorHAnsi" w:cstheme="minorHAnsi"/>
          <w:szCs w:val="24"/>
        </w:rPr>
        <w:t xml:space="preserve">  Following receipt, samples were inventoried and immediately stored at -80</w:t>
      </w:r>
      <w:r w:rsidRPr="0015248A">
        <w:rPr>
          <w:rFonts w:asciiTheme="minorHAnsi" w:hAnsiTheme="minorHAnsi" w:cstheme="minorHAnsi"/>
          <w:szCs w:val="24"/>
          <w:vertAlign w:val="superscript"/>
        </w:rPr>
        <w:t>o</w:t>
      </w:r>
      <w:r w:rsidRPr="0015248A">
        <w:rPr>
          <w:rFonts w:asciiTheme="minorHAnsi" w:hAnsiTheme="minorHAnsi" w:cstheme="minorHAnsi"/>
          <w:szCs w:val="24"/>
        </w:rPr>
        <w:t>C.  Each sample received was accessioned into the Metabolon LIMS system and was assigned by the LIMS a unique identifier that was associated with the original source identifier only.  This identifier was used to track all sample handling, tasks, results, etc.  The samples (and all derived aliquots) were tracked by the LIMS system.  All portions of any sample were automatically assigned their own unique identifiers by the LIMS when a new task was created; the</w:t>
      </w:r>
      <w:r>
        <w:rPr>
          <w:rFonts w:asciiTheme="minorHAnsi" w:hAnsiTheme="minorHAnsi" w:cstheme="minorHAnsi"/>
          <w:szCs w:val="24"/>
        </w:rPr>
        <w:t xml:space="preserve"> relationship of these samples wa</w:t>
      </w:r>
      <w:r w:rsidRPr="0015248A">
        <w:rPr>
          <w:rFonts w:asciiTheme="minorHAnsi" w:hAnsiTheme="minorHAnsi" w:cstheme="minorHAnsi"/>
          <w:szCs w:val="24"/>
        </w:rPr>
        <w:t>s also tracked.  All samples were maintained at -80</w:t>
      </w:r>
      <w:r w:rsidRPr="0015248A">
        <w:rPr>
          <w:rFonts w:asciiTheme="minorHAnsi" w:hAnsiTheme="minorHAnsi" w:cstheme="minorHAnsi"/>
          <w:szCs w:val="24"/>
          <w:vertAlign w:val="superscript"/>
        </w:rPr>
        <w:t>o</w:t>
      </w:r>
      <w:r w:rsidRPr="0015248A">
        <w:rPr>
          <w:rFonts w:asciiTheme="minorHAnsi" w:hAnsiTheme="minorHAnsi" w:cstheme="minorHAnsi"/>
          <w:szCs w:val="24"/>
        </w:rPr>
        <w:t>C until processed.</w:t>
      </w:r>
    </w:p>
    <w:p w14:paraId="326B2FC3" w14:textId="77777777" w:rsidR="00F03CD3" w:rsidRDefault="00F03CD3" w:rsidP="008A17C9">
      <w:pPr>
        <w:spacing w:before="240" w:after="240"/>
        <w:jc w:val="both"/>
        <w:rPr>
          <w:rFonts w:asciiTheme="minorHAnsi" w:hAnsiTheme="minorHAnsi" w:cstheme="minorHAnsi"/>
          <w:szCs w:val="24"/>
        </w:rPr>
      </w:pPr>
      <w:r w:rsidRPr="0015248A">
        <w:rPr>
          <w:rFonts w:asciiTheme="minorHAnsi" w:hAnsiTheme="minorHAnsi" w:cstheme="minorHAnsi"/>
          <w:b/>
          <w:szCs w:val="24"/>
        </w:rPr>
        <w:t>Sample Preparation</w:t>
      </w:r>
      <w:r>
        <w:rPr>
          <w:rFonts w:asciiTheme="minorHAnsi" w:hAnsiTheme="minorHAnsi" w:cstheme="minorHAnsi"/>
          <w:b/>
          <w:szCs w:val="24"/>
        </w:rPr>
        <w:t>:</w:t>
      </w:r>
      <w:r w:rsidRPr="0015248A">
        <w:rPr>
          <w:rFonts w:asciiTheme="minorHAnsi" w:hAnsiTheme="minorHAnsi" w:cstheme="minorHAnsi"/>
          <w:b/>
          <w:i/>
          <w:szCs w:val="24"/>
        </w:rPr>
        <w:t xml:space="preserve">  </w:t>
      </w:r>
      <w:r w:rsidRPr="0015248A">
        <w:rPr>
          <w:rFonts w:asciiTheme="minorHAnsi" w:hAnsiTheme="minorHAnsi" w:cstheme="minorHAnsi"/>
          <w:szCs w:val="24"/>
        </w:rPr>
        <w:t>Samples were prepared using the automated MicroLab STAR® system from Hamilton Company.  A recovery standard was added prior to the first step in the extraction process for QC purposes.  To remove protein, dissociate small molecules bound to protein or trapped in the precipitated protein matrix, and to recover chemically diverse metabolites, proteins were precipitated with methanol under vigorous shaki</w:t>
      </w:r>
      <w:r w:rsidRPr="00B02AAA">
        <w:rPr>
          <w:rFonts w:asciiTheme="minorHAnsi" w:hAnsiTheme="minorHAnsi" w:cstheme="minorHAnsi"/>
          <w:szCs w:val="24"/>
        </w:rPr>
        <w:t xml:space="preserve">ng for 2 min (Glen Mills GenoGrinder 2000) followed by centrifugation.  The resulting extract was divided into five fractions: one for analysis by UPLC-MS/MS with positive ion mode electrospray ionization, one for analysis by UPLC-MS/MS with negative ion mode electrospray ionization, one for LC polar platform, one for analysis by GC-MS, and one sample was reserved for backup. </w:t>
      </w:r>
      <w:r w:rsidR="008A17C9" w:rsidRPr="00B02AAA">
        <w:rPr>
          <w:rFonts w:asciiTheme="minorHAnsi" w:hAnsiTheme="minorHAnsi" w:cstheme="minorHAnsi"/>
          <w:szCs w:val="24"/>
        </w:rPr>
        <w:t>Samples were</w:t>
      </w:r>
      <w:r w:rsidR="008A17C9" w:rsidRPr="008A17C9">
        <w:rPr>
          <w:rFonts w:asciiTheme="minorHAnsi" w:hAnsiTheme="minorHAnsi" w:cstheme="minorHAnsi"/>
          <w:szCs w:val="24"/>
        </w:rPr>
        <w:t xml:space="preserve"> placed briefly on a TurboVap® (Zymark) to remove the organic solvent.  For LC, the samples were stored overnight under nitrogen before preparation for analysis.</w:t>
      </w:r>
      <w:r w:rsidR="008A17C9">
        <w:rPr>
          <w:rFonts w:asciiTheme="minorHAnsi" w:hAnsiTheme="minorHAnsi" w:cstheme="minorHAnsi"/>
          <w:szCs w:val="24"/>
        </w:rPr>
        <w:t xml:space="preserve">  </w:t>
      </w:r>
      <w:r w:rsidR="008A17C9" w:rsidRPr="008A17C9">
        <w:rPr>
          <w:rFonts w:asciiTheme="minorHAnsi" w:hAnsiTheme="minorHAnsi" w:cstheme="minorHAnsi"/>
          <w:szCs w:val="24"/>
        </w:rPr>
        <w:t>For GC, each sample was dried under vacuum overnight before preparation for analysis.</w:t>
      </w:r>
    </w:p>
    <w:p w14:paraId="55141D5C" w14:textId="77777777" w:rsidR="00F03CD3" w:rsidRDefault="00F03CD3" w:rsidP="00223A57">
      <w:pPr>
        <w:spacing w:before="240" w:after="240"/>
        <w:jc w:val="both"/>
        <w:rPr>
          <w:rFonts w:asciiTheme="minorHAnsi" w:hAnsiTheme="minorHAnsi" w:cstheme="minorHAnsi"/>
          <w:szCs w:val="24"/>
        </w:rPr>
      </w:pPr>
      <w:r w:rsidRPr="002E3F99">
        <w:rPr>
          <w:rFonts w:asciiTheme="minorHAnsi" w:hAnsiTheme="minorHAnsi" w:cstheme="minorHAnsi"/>
          <w:b/>
          <w:szCs w:val="24"/>
        </w:rPr>
        <w:t xml:space="preserve">QA/QC:  </w:t>
      </w:r>
      <w:r w:rsidRPr="002E3F99">
        <w:rPr>
          <w:rFonts w:asciiTheme="minorHAnsi" w:hAnsiTheme="minorHAnsi" w:cstheme="minorHAnsi"/>
          <w:szCs w:val="24"/>
        </w:rPr>
        <w:t xml:space="preserve">Several types of controls were analyzed in concert with the experimental samples: a pooled matrix sample generated by taking a small volume of each experimental sample (or alternatively, use of a pool of well-characterized human plasma) served as a technical replicate throughout the data set; extracted water samples served as process blanks; and a cocktail of QC standards that were carefully chosen not to interfere with the measurement of endogenous compounds were spiked into every analyzed sample, allowed instrument performance monitoring and aided chromatographic alignment.  Tables 1 and 2 describe these QC samples and standards.  Instrument variability was determined by calculating the median relative standard deviation (RSD) for the standards that were added to each sample prior to injection into the mass spectrometers.  Overall process variability was determined by calculating the median RSD for all endogenous metabolites (i.e., non-instrument standards) present in 100% of the pooled matrix samples.  Experimental samples were randomized across the platform run with QC samples spaced evenly among the injections, </w:t>
      </w:r>
      <w:r w:rsidRPr="0009366B">
        <w:rPr>
          <w:rFonts w:asciiTheme="minorHAnsi" w:hAnsiTheme="minorHAnsi" w:cstheme="minorHAnsi"/>
          <w:szCs w:val="24"/>
        </w:rPr>
        <w:t>as outlined in Figure 1.</w:t>
      </w:r>
    </w:p>
    <w:p w14:paraId="7FB7443C" w14:textId="77777777" w:rsidR="00F03CD3" w:rsidRPr="00D45713" w:rsidRDefault="00F03CD3" w:rsidP="002312AA">
      <w:pPr>
        <w:pageBreakBefore/>
        <w:spacing w:before="240" w:after="240"/>
        <w:jc w:val="both"/>
        <w:rPr>
          <w:rFonts w:asciiTheme="minorHAnsi" w:hAnsiTheme="minorHAnsi" w:cstheme="minorHAnsi"/>
        </w:rPr>
      </w:pPr>
      <w:r w:rsidRPr="00D45713">
        <w:rPr>
          <w:rFonts w:asciiTheme="minorHAnsi" w:hAnsiTheme="minorHAnsi" w:cstheme="minorHAnsi"/>
          <w:b/>
        </w:rPr>
        <w:lastRenderedPageBreak/>
        <w:t>Table 1:</w:t>
      </w:r>
      <w:r w:rsidRPr="00D45713">
        <w:rPr>
          <w:rFonts w:asciiTheme="minorHAnsi" w:hAnsiTheme="minorHAnsi" w:cstheme="minorHAnsi"/>
        </w:rPr>
        <w:t xml:space="preserve">  </w:t>
      </w:r>
      <w:r w:rsidRPr="00223A57">
        <w:rPr>
          <w:rFonts w:asciiTheme="minorHAnsi" w:hAnsiTheme="minorHAnsi" w:cstheme="minorHAnsi"/>
          <w:b/>
        </w:rPr>
        <w:t>Description of Metabolon QC Samples</w:t>
      </w:r>
    </w:p>
    <w:tbl>
      <w:tblPr>
        <w:tblStyle w:val="TableGrid"/>
        <w:tblW w:w="9356" w:type="dxa"/>
        <w:tblInd w:w="108" w:type="dxa"/>
        <w:tblLook w:val="01E0" w:firstRow="1" w:lastRow="1" w:firstColumn="1" w:lastColumn="1" w:noHBand="0" w:noVBand="0"/>
      </w:tblPr>
      <w:tblGrid>
        <w:gridCol w:w="921"/>
        <w:gridCol w:w="3669"/>
        <w:gridCol w:w="4766"/>
      </w:tblGrid>
      <w:tr w:rsidR="00F03CD3" w:rsidRPr="00D45713" w14:paraId="2F287042" w14:textId="77777777" w:rsidTr="00DB4C08">
        <w:trPr>
          <w:trHeight w:val="288"/>
        </w:trPr>
        <w:tc>
          <w:tcPr>
            <w:tcW w:w="921" w:type="dxa"/>
            <w:shd w:val="clear" w:color="auto" w:fill="000080"/>
          </w:tcPr>
          <w:p w14:paraId="34C1AEA1" w14:textId="77777777" w:rsidR="00F03CD3" w:rsidRPr="0009366B" w:rsidRDefault="00F03CD3" w:rsidP="00DB4C08">
            <w:pPr>
              <w:jc w:val="center"/>
              <w:rPr>
                <w:rFonts w:asciiTheme="minorHAnsi" w:hAnsiTheme="minorHAnsi" w:cstheme="minorHAnsi"/>
                <w:b/>
                <w:color w:val="FFFFFF"/>
                <w:szCs w:val="24"/>
              </w:rPr>
            </w:pPr>
            <w:r w:rsidRPr="0009366B">
              <w:rPr>
                <w:rFonts w:asciiTheme="minorHAnsi" w:hAnsiTheme="minorHAnsi" w:cstheme="minorHAnsi"/>
                <w:b/>
                <w:color w:val="FFFFFF"/>
                <w:szCs w:val="24"/>
              </w:rPr>
              <w:t>Type</w:t>
            </w:r>
          </w:p>
        </w:tc>
        <w:tc>
          <w:tcPr>
            <w:tcW w:w="3669" w:type="dxa"/>
            <w:shd w:val="clear" w:color="auto" w:fill="000080"/>
          </w:tcPr>
          <w:p w14:paraId="055521A5" w14:textId="77777777" w:rsidR="00F03CD3" w:rsidRPr="0009366B" w:rsidRDefault="00F03CD3" w:rsidP="00DB4C08">
            <w:pPr>
              <w:jc w:val="center"/>
              <w:rPr>
                <w:rFonts w:asciiTheme="minorHAnsi" w:hAnsiTheme="minorHAnsi" w:cstheme="minorHAnsi"/>
                <w:b/>
                <w:color w:val="FFFFFF"/>
                <w:szCs w:val="24"/>
              </w:rPr>
            </w:pPr>
            <w:r w:rsidRPr="0009366B">
              <w:rPr>
                <w:rFonts w:asciiTheme="minorHAnsi" w:hAnsiTheme="minorHAnsi" w:cstheme="minorHAnsi"/>
                <w:b/>
                <w:color w:val="FFFFFF"/>
                <w:szCs w:val="24"/>
              </w:rPr>
              <w:t>Description</w:t>
            </w:r>
          </w:p>
        </w:tc>
        <w:tc>
          <w:tcPr>
            <w:tcW w:w="4766" w:type="dxa"/>
            <w:shd w:val="clear" w:color="auto" w:fill="000080"/>
          </w:tcPr>
          <w:p w14:paraId="2DF87189" w14:textId="77777777" w:rsidR="00F03CD3" w:rsidRPr="0009366B" w:rsidRDefault="00F03CD3" w:rsidP="00DB4C08">
            <w:pPr>
              <w:jc w:val="center"/>
              <w:rPr>
                <w:rFonts w:asciiTheme="minorHAnsi" w:hAnsiTheme="minorHAnsi" w:cstheme="minorHAnsi"/>
                <w:b/>
                <w:color w:val="FFFFFF"/>
                <w:szCs w:val="24"/>
              </w:rPr>
            </w:pPr>
            <w:r w:rsidRPr="0009366B">
              <w:rPr>
                <w:rFonts w:asciiTheme="minorHAnsi" w:hAnsiTheme="minorHAnsi" w:cstheme="minorHAnsi"/>
                <w:b/>
                <w:color w:val="FFFFFF"/>
                <w:szCs w:val="24"/>
              </w:rPr>
              <w:t>Purpose</w:t>
            </w:r>
          </w:p>
        </w:tc>
      </w:tr>
      <w:tr w:rsidR="00F03CD3" w:rsidRPr="00D45713" w14:paraId="3829E22D" w14:textId="77777777" w:rsidTr="00DB4C08">
        <w:tc>
          <w:tcPr>
            <w:tcW w:w="921" w:type="dxa"/>
            <w:vAlign w:val="center"/>
          </w:tcPr>
          <w:p w14:paraId="3D676580"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MTRX</w:t>
            </w:r>
          </w:p>
        </w:tc>
        <w:tc>
          <w:tcPr>
            <w:tcW w:w="3669" w:type="dxa"/>
            <w:vAlign w:val="center"/>
          </w:tcPr>
          <w:p w14:paraId="42ADAAF4"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Large pool of human plasma maintained by Metabolon that has been characterized extensively.</w:t>
            </w:r>
          </w:p>
        </w:tc>
        <w:tc>
          <w:tcPr>
            <w:tcW w:w="4766" w:type="dxa"/>
            <w:vAlign w:val="center"/>
          </w:tcPr>
          <w:p w14:paraId="1B84291C"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 xml:space="preserve">Assure that all aspects of </w:t>
            </w:r>
            <w:r>
              <w:rPr>
                <w:rFonts w:asciiTheme="minorHAnsi" w:hAnsiTheme="minorHAnsi" w:cstheme="minorHAnsi"/>
                <w:szCs w:val="24"/>
              </w:rPr>
              <w:t xml:space="preserve">the </w:t>
            </w:r>
            <w:r w:rsidRPr="0009366B">
              <w:rPr>
                <w:rFonts w:asciiTheme="minorHAnsi" w:hAnsiTheme="minorHAnsi" w:cstheme="minorHAnsi"/>
                <w:szCs w:val="24"/>
              </w:rPr>
              <w:t>Metabolon process are operating within specifications.</w:t>
            </w:r>
          </w:p>
        </w:tc>
      </w:tr>
      <w:tr w:rsidR="00F03CD3" w:rsidRPr="00D45713" w14:paraId="2403B43D" w14:textId="77777777" w:rsidTr="00DB4C08">
        <w:tc>
          <w:tcPr>
            <w:tcW w:w="921" w:type="dxa"/>
            <w:vAlign w:val="center"/>
          </w:tcPr>
          <w:p w14:paraId="39D6AB5E"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CMTRX</w:t>
            </w:r>
          </w:p>
        </w:tc>
        <w:tc>
          <w:tcPr>
            <w:tcW w:w="3669" w:type="dxa"/>
            <w:vAlign w:val="center"/>
          </w:tcPr>
          <w:p w14:paraId="7B7918E0"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Pool created by taking a small aliquot from every customer sample.</w:t>
            </w:r>
          </w:p>
        </w:tc>
        <w:tc>
          <w:tcPr>
            <w:tcW w:w="4766" w:type="dxa"/>
            <w:vAlign w:val="center"/>
          </w:tcPr>
          <w:p w14:paraId="6FBC4082"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Assess the effect of a non-plasma matrix on the Metabolon process and distinguish biological variability from process variability.</w:t>
            </w:r>
          </w:p>
        </w:tc>
      </w:tr>
      <w:tr w:rsidR="00F03CD3" w:rsidRPr="00D45713" w14:paraId="03852249" w14:textId="77777777" w:rsidTr="00DB4C08">
        <w:tc>
          <w:tcPr>
            <w:tcW w:w="921" w:type="dxa"/>
            <w:vAlign w:val="center"/>
          </w:tcPr>
          <w:p w14:paraId="3D264920"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PRCS</w:t>
            </w:r>
          </w:p>
        </w:tc>
        <w:tc>
          <w:tcPr>
            <w:tcW w:w="3669" w:type="dxa"/>
            <w:vAlign w:val="center"/>
          </w:tcPr>
          <w:p w14:paraId="00D0169D"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Aliquot of ultra-pure water</w:t>
            </w:r>
          </w:p>
        </w:tc>
        <w:tc>
          <w:tcPr>
            <w:tcW w:w="4766" w:type="dxa"/>
            <w:vAlign w:val="center"/>
          </w:tcPr>
          <w:p w14:paraId="4A002B2C"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Process Blank used to assess the contribution to compound signals from the process.</w:t>
            </w:r>
          </w:p>
        </w:tc>
      </w:tr>
      <w:tr w:rsidR="00F03CD3" w:rsidRPr="00D45713" w14:paraId="569BE3F5" w14:textId="77777777" w:rsidTr="00DB4C08">
        <w:tc>
          <w:tcPr>
            <w:tcW w:w="921" w:type="dxa"/>
            <w:vAlign w:val="center"/>
          </w:tcPr>
          <w:p w14:paraId="25810DA8" w14:textId="77777777" w:rsidR="00F03CD3" w:rsidRPr="0009366B" w:rsidRDefault="00F03CD3" w:rsidP="00DB4C08">
            <w:pPr>
              <w:jc w:val="center"/>
              <w:rPr>
                <w:rFonts w:asciiTheme="minorHAnsi" w:hAnsiTheme="minorHAnsi" w:cstheme="minorHAnsi"/>
                <w:szCs w:val="24"/>
              </w:rPr>
            </w:pPr>
            <w:r w:rsidRPr="0009366B">
              <w:rPr>
                <w:rFonts w:asciiTheme="minorHAnsi" w:hAnsiTheme="minorHAnsi" w:cstheme="minorHAnsi"/>
                <w:szCs w:val="24"/>
              </w:rPr>
              <w:t>SOLV</w:t>
            </w:r>
          </w:p>
        </w:tc>
        <w:tc>
          <w:tcPr>
            <w:tcW w:w="3669" w:type="dxa"/>
            <w:vAlign w:val="center"/>
          </w:tcPr>
          <w:p w14:paraId="62F5B647"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Aliquot of solvents used in extraction.</w:t>
            </w:r>
          </w:p>
        </w:tc>
        <w:tc>
          <w:tcPr>
            <w:tcW w:w="4766" w:type="dxa"/>
            <w:vAlign w:val="center"/>
          </w:tcPr>
          <w:p w14:paraId="075EB03E" w14:textId="77777777" w:rsidR="00F03CD3" w:rsidRPr="0009366B" w:rsidRDefault="00F03CD3" w:rsidP="00DB4C08">
            <w:pPr>
              <w:rPr>
                <w:rFonts w:asciiTheme="minorHAnsi" w:hAnsiTheme="minorHAnsi" w:cstheme="minorHAnsi"/>
                <w:szCs w:val="24"/>
              </w:rPr>
            </w:pPr>
            <w:r w:rsidRPr="0009366B">
              <w:rPr>
                <w:rFonts w:asciiTheme="minorHAnsi" w:hAnsiTheme="minorHAnsi" w:cstheme="minorHAnsi"/>
                <w:szCs w:val="24"/>
              </w:rPr>
              <w:t xml:space="preserve">Solvent </w:t>
            </w:r>
            <w:r>
              <w:rPr>
                <w:rFonts w:asciiTheme="minorHAnsi" w:hAnsiTheme="minorHAnsi" w:cstheme="minorHAnsi"/>
                <w:szCs w:val="24"/>
              </w:rPr>
              <w:t>B</w:t>
            </w:r>
            <w:r w:rsidRPr="0009366B">
              <w:rPr>
                <w:rFonts w:asciiTheme="minorHAnsi" w:hAnsiTheme="minorHAnsi" w:cstheme="minorHAnsi"/>
                <w:szCs w:val="24"/>
              </w:rPr>
              <w:t>lank used to segregate contamination sources in the extraction.</w:t>
            </w:r>
          </w:p>
        </w:tc>
      </w:tr>
    </w:tbl>
    <w:p w14:paraId="35851901" w14:textId="77777777" w:rsidR="00F03CD3" w:rsidRPr="00D45713" w:rsidRDefault="00F03CD3" w:rsidP="00DB4C08">
      <w:pPr>
        <w:spacing w:before="240" w:after="240"/>
        <w:jc w:val="both"/>
        <w:rPr>
          <w:rFonts w:asciiTheme="minorHAnsi" w:hAnsiTheme="minorHAnsi" w:cstheme="minorHAnsi"/>
        </w:rPr>
      </w:pPr>
      <w:r w:rsidRPr="00D45713">
        <w:rPr>
          <w:rFonts w:asciiTheme="minorHAnsi" w:hAnsiTheme="minorHAnsi" w:cstheme="minorHAnsi"/>
          <w:b/>
        </w:rPr>
        <w:t>Table 2:</w:t>
      </w:r>
      <w:r w:rsidRPr="00D45713">
        <w:rPr>
          <w:rFonts w:asciiTheme="minorHAnsi" w:hAnsiTheme="minorHAnsi" w:cstheme="minorHAnsi"/>
        </w:rPr>
        <w:t xml:space="preserve">  </w:t>
      </w:r>
      <w:r w:rsidRPr="00223A57">
        <w:rPr>
          <w:rFonts w:asciiTheme="minorHAnsi" w:hAnsiTheme="minorHAnsi" w:cstheme="minorHAnsi"/>
          <w:b/>
        </w:rPr>
        <w:t>Metabolon QC Standards</w:t>
      </w:r>
    </w:p>
    <w:tbl>
      <w:tblPr>
        <w:tblStyle w:val="TableGrid"/>
        <w:tblW w:w="0" w:type="auto"/>
        <w:tblInd w:w="108" w:type="dxa"/>
        <w:tblLook w:val="01E0" w:firstRow="1" w:lastRow="1" w:firstColumn="1" w:lastColumn="1" w:noHBand="0" w:noVBand="0"/>
      </w:tblPr>
      <w:tblGrid>
        <w:gridCol w:w="1008"/>
        <w:gridCol w:w="3582"/>
        <w:gridCol w:w="4770"/>
      </w:tblGrid>
      <w:tr w:rsidR="00F03CD3" w:rsidRPr="00D45713" w14:paraId="6CF8458A" w14:textId="77777777" w:rsidTr="00896512">
        <w:trPr>
          <w:trHeight w:val="288"/>
        </w:trPr>
        <w:tc>
          <w:tcPr>
            <w:tcW w:w="1008" w:type="dxa"/>
            <w:shd w:val="clear" w:color="auto" w:fill="000080"/>
          </w:tcPr>
          <w:p w14:paraId="4E1CFD86" w14:textId="77777777" w:rsidR="00F03CD3" w:rsidRPr="00D45713" w:rsidRDefault="00F03CD3" w:rsidP="00DB4C08">
            <w:pPr>
              <w:jc w:val="center"/>
              <w:rPr>
                <w:rFonts w:asciiTheme="minorHAnsi" w:hAnsiTheme="minorHAnsi" w:cstheme="minorHAnsi"/>
                <w:b/>
                <w:color w:val="FFFFFF"/>
              </w:rPr>
            </w:pPr>
            <w:r w:rsidRPr="00D45713">
              <w:rPr>
                <w:rFonts w:asciiTheme="minorHAnsi" w:hAnsiTheme="minorHAnsi" w:cstheme="minorHAnsi"/>
                <w:b/>
                <w:color w:val="FFFFFF"/>
              </w:rPr>
              <w:t>Type</w:t>
            </w:r>
          </w:p>
        </w:tc>
        <w:tc>
          <w:tcPr>
            <w:tcW w:w="3582" w:type="dxa"/>
            <w:shd w:val="clear" w:color="auto" w:fill="000080"/>
          </w:tcPr>
          <w:p w14:paraId="4936E66E" w14:textId="77777777" w:rsidR="00F03CD3" w:rsidRPr="00D45713" w:rsidRDefault="00F03CD3" w:rsidP="00DB4C08">
            <w:pPr>
              <w:jc w:val="center"/>
              <w:rPr>
                <w:rFonts w:asciiTheme="minorHAnsi" w:hAnsiTheme="minorHAnsi" w:cstheme="minorHAnsi"/>
                <w:b/>
                <w:color w:val="FFFFFF"/>
              </w:rPr>
            </w:pPr>
            <w:r w:rsidRPr="00D45713">
              <w:rPr>
                <w:rFonts w:asciiTheme="minorHAnsi" w:hAnsiTheme="minorHAnsi" w:cstheme="minorHAnsi"/>
                <w:b/>
                <w:color w:val="FFFFFF"/>
              </w:rPr>
              <w:t>Description</w:t>
            </w:r>
          </w:p>
        </w:tc>
        <w:tc>
          <w:tcPr>
            <w:tcW w:w="4770" w:type="dxa"/>
            <w:shd w:val="clear" w:color="auto" w:fill="000080"/>
          </w:tcPr>
          <w:p w14:paraId="5A32E140" w14:textId="77777777" w:rsidR="00F03CD3" w:rsidRPr="00D45713" w:rsidRDefault="00F03CD3" w:rsidP="00DB4C08">
            <w:pPr>
              <w:jc w:val="center"/>
              <w:rPr>
                <w:rFonts w:asciiTheme="minorHAnsi" w:hAnsiTheme="minorHAnsi" w:cstheme="minorHAnsi"/>
                <w:b/>
                <w:color w:val="FFFFFF"/>
              </w:rPr>
            </w:pPr>
            <w:r w:rsidRPr="00D45713">
              <w:rPr>
                <w:rFonts w:asciiTheme="minorHAnsi" w:hAnsiTheme="minorHAnsi" w:cstheme="minorHAnsi"/>
                <w:b/>
                <w:color w:val="FFFFFF"/>
              </w:rPr>
              <w:t>Purpose</w:t>
            </w:r>
          </w:p>
        </w:tc>
      </w:tr>
      <w:tr w:rsidR="00F03CD3" w:rsidRPr="00D45713" w14:paraId="70CAECDC" w14:textId="77777777" w:rsidTr="00896512">
        <w:tc>
          <w:tcPr>
            <w:tcW w:w="1008" w:type="dxa"/>
            <w:vAlign w:val="center"/>
          </w:tcPr>
          <w:p w14:paraId="0B90B18D" w14:textId="77777777" w:rsidR="00F03CD3" w:rsidRPr="00D45713" w:rsidRDefault="00F03CD3" w:rsidP="00DB4C08">
            <w:pPr>
              <w:jc w:val="center"/>
              <w:rPr>
                <w:rFonts w:asciiTheme="minorHAnsi" w:hAnsiTheme="minorHAnsi" w:cstheme="minorHAnsi"/>
              </w:rPr>
            </w:pPr>
            <w:r w:rsidRPr="00D45713">
              <w:rPr>
                <w:rFonts w:asciiTheme="minorHAnsi" w:hAnsiTheme="minorHAnsi" w:cstheme="minorHAnsi"/>
              </w:rPr>
              <w:t>RS</w:t>
            </w:r>
          </w:p>
        </w:tc>
        <w:tc>
          <w:tcPr>
            <w:tcW w:w="3582" w:type="dxa"/>
            <w:vAlign w:val="center"/>
          </w:tcPr>
          <w:p w14:paraId="48F82FC9"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Recovery Standard</w:t>
            </w:r>
          </w:p>
        </w:tc>
        <w:tc>
          <w:tcPr>
            <w:tcW w:w="4770" w:type="dxa"/>
            <w:vAlign w:val="center"/>
          </w:tcPr>
          <w:p w14:paraId="744E0962"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Assess variability and verify performance of extraction and instrumentation.</w:t>
            </w:r>
          </w:p>
        </w:tc>
      </w:tr>
      <w:tr w:rsidR="00F03CD3" w:rsidRPr="00D45713" w14:paraId="623E99DB" w14:textId="77777777" w:rsidTr="00896512">
        <w:trPr>
          <w:trHeight w:val="288"/>
        </w:trPr>
        <w:tc>
          <w:tcPr>
            <w:tcW w:w="1008" w:type="dxa"/>
            <w:vAlign w:val="center"/>
          </w:tcPr>
          <w:p w14:paraId="33EDA24B" w14:textId="77777777" w:rsidR="00F03CD3" w:rsidRPr="00D45713" w:rsidRDefault="00F03CD3" w:rsidP="00DB4C08">
            <w:pPr>
              <w:jc w:val="center"/>
              <w:rPr>
                <w:rFonts w:asciiTheme="minorHAnsi" w:hAnsiTheme="minorHAnsi" w:cstheme="minorHAnsi"/>
              </w:rPr>
            </w:pPr>
            <w:r w:rsidRPr="00D45713">
              <w:rPr>
                <w:rFonts w:asciiTheme="minorHAnsi" w:hAnsiTheme="minorHAnsi" w:cstheme="minorHAnsi"/>
              </w:rPr>
              <w:t>DS</w:t>
            </w:r>
          </w:p>
        </w:tc>
        <w:tc>
          <w:tcPr>
            <w:tcW w:w="3582" w:type="dxa"/>
            <w:vAlign w:val="center"/>
          </w:tcPr>
          <w:p w14:paraId="3E77E027"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Derivatization Standard</w:t>
            </w:r>
          </w:p>
        </w:tc>
        <w:tc>
          <w:tcPr>
            <w:tcW w:w="4770" w:type="dxa"/>
            <w:vAlign w:val="center"/>
          </w:tcPr>
          <w:p w14:paraId="17DF07E5"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Assess varia</w:t>
            </w:r>
            <w:r>
              <w:rPr>
                <w:rFonts w:asciiTheme="minorHAnsi" w:hAnsiTheme="minorHAnsi" w:cstheme="minorHAnsi"/>
              </w:rPr>
              <w:t>bility of derivatization for GC-</w:t>
            </w:r>
            <w:r w:rsidRPr="00D45713">
              <w:rPr>
                <w:rFonts w:asciiTheme="minorHAnsi" w:hAnsiTheme="minorHAnsi" w:cstheme="minorHAnsi"/>
              </w:rPr>
              <w:t>MS samples.</w:t>
            </w:r>
          </w:p>
        </w:tc>
      </w:tr>
      <w:tr w:rsidR="00F03CD3" w:rsidRPr="00D45713" w14:paraId="5987D07C" w14:textId="77777777" w:rsidTr="00896512">
        <w:trPr>
          <w:trHeight w:val="288"/>
        </w:trPr>
        <w:tc>
          <w:tcPr>
            <w:tcW w:w="1008" w:type="dxa"/>
            <w:vAlign w:val="center"/>
          </w:tcPr>
          <w:p w14:paraId="16A15335" w14:textId="77777777" w:rsidR="00F03CD3" w:rsidRPr="00D45713" w:rsidRDefault="00F03CD3" w:rsidP="00DB4C08">
            <w:pPr>
              <w:jc w:val="center"/>
              <w:rPr>
                <w:rFonts w:asciiTheme="minorHAnsi" w:hAnsiTheme="minorHAnsi" w:cstheme="minorHAnsi"/>
              </w:rPr>
            </w:pPr>
            <w:r w:rsidRPr="00D45713">
              <w:rPr>
                <w:rFonts w:asciiTheme="minorHAnsi" w:hAnsiTheme="minorHAnsi" w:cstheme="minorHAnsi"/>
              </w:rPr>
              <w:t>IS</w:t>
            </w:r>
          </w:p>
        </w:tc>
        <w:tc>
          <w:tcPr>
            <w:tcW w:w="3582" w:type="dxa"/>
            <w:vAlign w:val="center"/>
          </w:tcPr>
          <w:p w14:paraId="4601DA44"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Internal Standard</w:t>
            </w:r>
          </w:p>
        </w:tc>
        <w:tc>
          <w:tcPr>
            <w:tcW w:w="4770" w:type="dxa"/>
            <w:vAlign w:val="center"/>
          </w:tcPr>
          <w:p w14:paraId="501F3D84" w14:textId="77777777" w:rsidR="00F03CD3" w:rsidRPr="00D45713" w:rsidRDefault="00F03CD3" w:rsidP="00F22D08">
            <w:pPr>
              <w:rPr>
                <w:rFonts w:asciiTheme="minorHAnsi" w:hAnsiTheme="minorHAnsi" w:cstheme="minorHAnsi"/>
              </w:rPr>
            </w:pPr>
            <w:r w:rsidRPr="00D45713">
              <w:rPr>
                <w:rFonts w:asciiTheme="minorHAnsi" w:hAnsiTheme="minorHAnsi" w:cstheme="minorHAnsi"/>
              </w:rPr>
              <w:t>Assess variability and performance of instrument.</w:t>
            </w:r>
          </w:p>
        </w:tc>
      </w:tr>
    </w:tbl>
    <w:p w14:paraId="4A561597" w14:textId="77777777" w:rsidR="00F03CD3" w:rsidRDefault="00F03CD3" w:rsidP="00896512">
      <w:pPr>
        <w:spacing w:before="120" w:after="120"/>
        <w:jc w:val="both"/>
        <w:rPr>
          <w:rFonts w:asciiTheme="minorHAnsi" w:hAnsiTheme="minorHAnsi" w:cstheme="minorHAnsi"/>
          <w:b/>
        </w:rPr>
      </w:pPr>
    </w:p>
    <w:p w14:paraId="638714F3" w14:textId="77777777" w:rsidR="00F03CD3" w:rsidRDefault="00F03CD3" w:rsidP="00DB4C08">
      <w:pPr>
        <w:jc w:val="center"/>
        <w:rPr>
          <w:rFonts w:asciiTheme="minorHAnsi" w:hAnsiTheme="minorHAnsi" w:cstheme="minorHAnsi"/>
          <w:b/>
        </w:rPr>
      </w:pPr>
      <w:r w:rsidRPr="00184572">
        <w:rPr>
          <w:rFonts w:asciiTheme="minorHAnsi" w:hAnsiTheme="minorHAnsi" w:cstheme="minorHAnsi"/>
          <w:b/>
          <w:noProof/>
        </w:rPr>
        <w:drawing>
          <wp:inline distT="0" distB="0" distL="0" distR="0" wp14:anchorId="0B880A93" wp14:editId="7D0A639E">
            <wp:extent cx="5508657" cy="1695450"/>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r="3128"/>
                    <a:stretch>
                      <a:fillRect/>
                    </a:stretch>
                  </pic:blipFill>
                  <pic:spPr bwMode="auto">
                    <a:xfrm>
                      <a:off x="0" y="0"/>
                      <a:ext cx="5508657" cy="1695450"/>
                    </a:xfrm>
                    <a:prstGeom prst="rect">
                      <a:avLst/>
                    </a:prstGeom>
                    <a:noFill/>
                    <a:ln w="9525">
                      <a:noFill/>
                      <a:miter lim="800000"/>
                      <a:headEnd/>
                      <a:tailEnd/>
                    </a:ln>
                  </pic:spPr>
                </pic:pic>
              </a:graphicData>
            </a:graphic>
          </wp:inline>
        </w:drawing>
      </w:r>
    </w:p>
    <w:p w14:paraId="503B98F9" w14:textId="77777777" w:rsidR="00F03CD3" w:rsidRPr="001C5FB8" w:rsidRDefault="00F03CD3" w:rsidP="00223A57">
      <w:pPr>
        <w:spacing w:before="360" w:after="240"/>
        <w:jc w:val="both"/>
        <w:rPr>
          <w:rFonts w:asciiTheme="minorHAnsi" w:hAnsiTheme="minorHAnsi" w:cstheme="minorHAnsi"/>
          <w:szCs w:val="24"/>
        </w:rPr>
      </w:pPr>
      <w:r w:rsidRPr="001C5FB8">
        <w:rPr>
          <w:rFonts w:asciiTheme="minorHAnsi" w:hAnsiTheme="minorHAnsi" w:cstheme="minorHAnsi"/>
          <w:b/>
          <w:bCs/>
          <w:szCs w:val="24"/>
        </w:rPr>
        <w:t>Figure 1.</w:t>
      </w:r>
      <w:r w:rsidRPr="001C5FB8">
        <w:rPr>
          <w:rFonts w:asciiTheme="minorHAnsi" w:hAnsiTheme="minorHAnsi" w:cstheme="minorHAnsi"/>
          <w:szCs w:val="24"/>
        </w:rPr>
        <w:t xml:space="preserve"> </w:t>
      </w:r>
      <w:r w:rsidRPr="00223A57">
        <w:rPr>
          <w:rFonts w:asciiTheme="minorHAnsi" w:hAnsiTheme="minorHAnsi" w:cstheme="minorHAnsi"/>
          <w:b/>
          <w:szCs w:val="24"/>
        </w:rPr>
        <w:t xml:space="preserve"> Preparation of client-specific technical replicates.</w:t>
      </w:r>
      <w:r w:rsidRPr="001C5FB8">
        <w:rPr>
          <w:rFonts w:asciiTheme="minorHAnsi" w:hAnsiTheme="minorHAnsi" w:cstheme="minorHAnsi"/>
          <w:szCs w:val="24"/>
        </w:rPr>
        <w:t xml:space="preserve">  A small aliquot of each client sample (colored cylinders) is pooled to create a CMTRX technical replicate sample (multi-colored cylinder), which is then injected periodically throughout the platform run.  Variability among consistently detected biochemicals can be used to calculate an estimate of overall process and platform variability.</w:t>
      </w:r>
    </w:p>
    <w:p w14:paraId="19687B7A" w14:textId="77777777" w:rsidR="00F03CD3" w:rsidRPr="001C5FB8" w:rsidRDefault="00F03CD3" w:rsidP="00223A57">
      <w:pPr>
        <w:pageBreakBefore/>
        <w:spacing w:after="240"/>
        <w:jc w:val="both"/>
        <w:rPr>
          <w:rFonts w:asciiTheme="minorHAnsi" w:hAnsiTheme="minorHAnsi" w:cstheme="minorHAnsi"/>
          <w:szCs w:val="24"/>
        </w:rPr>
      </w:pPr>
      <w:r w:rsidRPr="001C5FB8">
        <w:rPr>
          <w:rFonts w:asciiTheme="minorHAnsi" w:hAnsiTheme="minorHAnsi" w:cstheme="minorHAnsi"/>
          <w:b/>
          <w:szCs w:val="24"/>
        </w:rPr>
        <w:lastRenderedPageBreak/>
        <w:t>Ultrahigh Performance Liquid Chromatography-Tandem Mass Spectroscopy (UPLC-MS/MS):</w:t>
      </w:r>
      <w:r w:rsidRPr="001C5FB8">
        <w:rPr>
          <w:rFonts w:asciiTheme="minorHAnsi" w:hAnsiTheme="minorHAnsi" w:cstheme="minorHAnsi"/>
          <w:szCs w:val="24"/>
        </w:rPr>
        <w:t xml:space="preserve">  </w:t>
      </w:r>
      <w:r w:rsidR="00B02AAA" w:rsidRPr="00B02AAA">
        <w:rPr>
          <w:rFonts w:asciiTheme="minorHAnsi" w:hAnsiTheme="minorHAnsi" w:cstheme="minorHAnsi"/>
          <w:szCs w:val="24"/>
        </w:rPr>
        <w:t>The LC/MS portion of the platform was based on a Waters ACQUITY ultra-performance liquid chromatography (UPLC) and a Thermo Scientific Q-Exactive high resolution/accurate mass spectrometer interfaced with a heated electrospray ionization (HESI-II) source and Orbitrap mass analyzer operated at 35,000 mass resolution.  The sample extract was dried then reconstituted in acidic or basic LC-compatible solvents, each of which contained 8 or more injection standards at fixed concentrations to ensure injection and chromatographic consistency.  One aliquot was analyzed using acidic positive ion optimized conditions and the other using basic negative ion optimized conditions in two independent injections using separate dedicated columns (Waters UPLC BEH C18-2.1x100 mm, 1.7 µm).  Extracts reconstituted in acidic conditions were gradient eluted from a C18 column using water and methanol containing 0.1% formic acid. The basic extracts were similarly eluted from C18 using methanol and water, however with 6.5mM Ammonium Bicarbonate. The third aliquot was analyzed via negative ionization following elution from a HILIC column (Waters UPLC BEH Amide 2.1x150 mm, 1.7 µm) using a gradient consisting of water and acetonitrile with 10mM Ammonium Formate. The MS analysis alternated between MS and data-dependent MS2 scans using dynamic exclusion, and the scan range was from 80-1000 m/z.  Raw data files are archived and extracted as described below.</w:t>
      </w:r>
    </w:p>
    <w:p w14:paraId="5855A3D4" w14:textId="77777777" w:rsidR="00F03CD3" w:rsidRPr="001C5FB8" w:rsidRDefault="00F03CD3" w:rsidP="00223A57">
      <w:pPr>
        <w:spacing w:after="240"/>
        <w:jc w:val="both"/>
        <w:rPr>
          <w:rFonts w:asciiTheme="minorHAnsi" w:hAnsiTheme="minorHAnsi" w:cstheme="minorHAnsi"/>
          <w:szCs w:val="24"/>
        </w:rPr>
      </w:pPr>
      <w:r w:rsidRPr="001C5FB8">
        <w:rPr>
          <w:rFonts w:asciiTheme="minorHAnsi" w:hAnsiTheme="minorHAnsi" w:cstheme="minorHAnsi"/>
          <w:b/>
          <w:bCs/>
          <w:szCs w:val="24"/>
        </w:rPr>
        <w:t>Gas Chromatography-Mass Spectroscopy (GC-MS):</w:t>
      </w:r>
      <w:r w:rsidRPr="001C5FB8">
        <w:rPr>
          <w:rFonts w:asciiTheme="minorHAnsi" w:hAnsiTheme="minorHAnsi" w:cstheme="minorHAnsi"/>
          <w:szCs w:val="24"/>
        </w:rPr>
        <w:t>  The samples destined for analysis by GC-MS were dried under vacuum for a minimum of 18 h prior to being derivatized under dried nitrogen using bistrimethyl-silyltrifluoroacetamide.  Derivatized samples were separated on a 5% diphenyl / 95% dimethyl polysiloxane fused silica column (20 m x 0.18 mm ID; 0.18 um film thickness) with helium as carrier ga</w:t>
      </w:r>
      <w:r w:rsidR="008A17C9">
        <w:rPr>
          <w:rFonts w:asciiTheme="minorHAnsi" w:hAnsiTheme="minorHAnsi" w:cstheme="minorHAnsi"/>
          <w:szCs w:val="24"/>
        </w:rPr>
        <w:t>s and a temperature ramp from 60</w:t>
      </w:r>
      <w:r w:rsidRPr="001C5FB8">
        <w:rPr>
          <w:rFonts w:asciiTheme="minorHAnsi" w:hAnsiTheme="minorHAnsi" w:cstheme="minorHAnsi"/>
          <w:szCs w:val="24"/>
        </w:rPr>
        <w:t>° to 340°C in a 17.5 min period.  Samples were analyzed on a Thermo-Finnigan Trace DSQ fast-scanning single-quadrupole mass spectrometer using electron impact ionization (EI) and operated at unit mass resolving power.  The scan range was from 50–750 m/z.  Raw data files are archived and extracted as described below.</w:t>
      </w:r>
    </w:p>
    <w:p w14:paraId="687AD1CE" w14:textId="77777777" w:rsidR="00F03CD3" w:rsidRPr="001C5FB8" w:rsidRDefault="00F03CD3" w:rsidP="00223A57">
      <w:pPr>
        <w:spacing w:after="240"/>
        <w:jc w:val="both"/>
        <w:rPr>
          <w:rFonts w:asciiTheme="minorHAnsi" w:hAnsiTheme="minorHAnsi" w:cstheme="minorHAnsi"/>
          <w:szCs w:val="24"/>
        </w:rPr>
      </w:pPr>
      <w:r w:rsidRPr="001C5FB8">
        <w:rPr>
          <w:rFonts w:asciiTheme="minorHAnsi" w:hAnsiTheme="minorHAnsi" w:cstheme="minorHAnsi"/>
          <w:b/>
          <w:szCs w:val="24"/>
        </w:rPr>
        <w:t>Bioinformatics:</w:t>
      </w:r>
      <w:r w:rsidRPr="001C5FB8">
        <w:rPr>
          <w:rFonts w:asciiTheme="minorHAnsi" w:hAnsiTheme="minorHAnsi" w:cstheme="minorHAnsi"/>
          <w:szCs w:val="24"/>
        </w:rPr>
        <w:t xml:space="preserve">  The informatics system consisted of four major components, the Laboratory Information Management System (LIMS), the data extraction and peak-identification software, data processing tools for QC and compound identification, and a collection of information interpretation and visualization tools for use by data analysts.  The hardware and software foundations for these informatics components were the LAN backbone, and a database server running Oracle 10.2.0.1 Enterprise Edition.</w:t>
      </w:r>
    </w:p>
    <w:p w14:paraId="4ACFCB37" w14:textId="77777777" w:rsidR="00F03CD3" w:rsidRPr="001C5FB8" w:rsidRDefault="00F03CD3" w:rsidP="00223A57">
      <w:pPr>
        <w:spacing w:after="240"/>
        <w:jc w:val="both"/>
        <w:rPr>
          <w:rFonts w:asciiTheme="minorHAnsi" w:hAnsiTheme="minorHAnsi" w:cstheme="minorHAnsi"/>
          <w:szCs w:val="24"/>
        </w:rPr>
      </w:pPr>
      <w:r w:rsidRPr="001C5FB8">
        <w:rPr>
          <w:rFonts w:asciiTheme="minorHAnsi" w:hAnsiTheme="minorHAnsi" w:cstheme="minorHAnsi"/>
          <w:b/>
          <w:szCs w:val="24"/>
        </w:rPr>
        <w:t xml:space="preserve">LIMS: </w:t>
      </w:r>
      <w:r w:rsidRPr="001C5FB8">
        <w:rPr>
          <w:rFonts w:asciiTheme="minorHAnsi" w:hAnsiTheme="minorHAnsi" w:cstheme="minorHAnsi"/>
          <w:szCs w:val="24"/>
        </w:rPr>
        <w:t xml:space="preserve"> The purpose of the Metabolon LIMS system was to enable fully auditable laboratory automation through a secure, easy to use, and highly specialized system.  The scope of the Metabolon LIMS system encompasses sample accessioning, sample preparation and instrumental analysis and reporting and advanced data analysis.  All of the subsequent software systems are grounded in the LIMS data structures.  It has been modified to leverage and interface with the in-house information extraction and data visualization systems, as well as third party instrumentation and data analysis software.</w:t>
      </w:r>
    </w:p>
    <w:p w14:paraId="20B3CEBB" w14:textId="77777777" w:rsidR="00F03CD3" w:rsidRPr="001C5FB8" w:rsidRDefault="00F03CD3" w:rsidP="00223A57">
      <w:pPr>
        <w:pStyle w:val="CommentText"/>
        <w:spacing w:after="240"/>
        <w:jc w:val="both"/>
        <w:rPr>
          <w:rFonts w:asciiTheme="minorHAnsi" w:hAnsiTheme="minorHAnsi" w:cstheme="minorHAnsi"/>
          <w:sz w:val="24"/>
          <w:szCs w:val="24"/>
        </w:rPr>
      </w:pPr>
      <w:r w:rsidRPr="001C5FB8">
        <w:rPr>
          <w:rFonts w:asciiTheme="minorHAnsi" w:hAnsiTheme="minorHAnsi" w:cstheme="minorHAnsi"/>
          <w:b/>
          <w:sz w:val="24"/>
          <w:szCs w:val="24"/>
        </w:rPr>
        <w:lastRenderedPageBreak/>
        <w:t xml:space="preserve">Data Extraction and Compound Identification: </w:t>
      </w:r>
      <w:r w:rsidRPr="001C5FB8">
        <w:rPr>
          <w:rFonts w:asciiTheme="minorHAnsi" w:hAnsiTheme="minorHAnsi" w:cstheme="minorHAnsi"/>
          <w:b/>
          <w:i/>
          <w:sz w:val="24"/>
          <w:szCs w:val="24"/>
        </w:rPr>
        <w:t xml:space="preserve"> </w:t>
      </w:r>
      <w:r w:rsidRPr="001C5FB8">
        <w:rPr>
          <w:rFonts w:asciiTheme="minorHAnsi" w:hAnsiTheme="minorHAnsi" w:cstheme="minorHAnsi"/>
          <w:sz w:val="24"/>
          <w:szCs w:val="24"/>
        </w:rPr>
        <w:t>Raw data was extracted, peak-identified and QC processed using Metabolon’s hardware and software.  These systems are built on a web-service platform utilizing Microsoft’s .NET technologies, which run on high-performance application servers and fiber-channel storage arrays in clusters to provide active failover and load-balancing.  Compounds were identified by comparison to library entries of purified standards or recurrent unknown entities.  Metabolon maintains a library based on authenticated standards that contains the retention time/index (RI), mass to charge ratio (</w:t>
      </w:r>
      <w:r w:rsidRPr="001C5FB8">
        <w:rPr>
          <w:rFonts w:asciiTheme="minorHAnsi" w:hAnsiTheme="minorHAnsi" w:cstheme="minorHAnsi"/>
          <w:i/>
          <w:sz w:val="24"/>
          <w:szCs w:val="24"/>
        </w:rPr>
        <w:t>m/z)</w:t>
      </w:r>
      <w:r w:rsidRPr="001C5FB8">
        <w:rPr>
          <w:rFonts w:asciiTheme="minorHAnsi" w:hAnsiTheme="minorHAnsi" w:cstheme="minorHAnsi"/>
          <w:sz w:val="24"/>
          <w:szCs w:val="24"/>
        </w:rPr>
        <w:t>, and chromatographic data (including MS/MS spectral data) on all molecules present in the library.  Furthermore, biochemical identifications are based on three criteria: retention index within a narrow RI window of the proposed identification, accurate mass match to the library +/- 0.005 amu, and the MS/MS forward and reverse scores between the experimental data and authentic standards.  The MS/MS scores are based on a comparison of the ions present in the experimental spectrum to the ions present in the library spectrum.  While there may be similarities between these molecules based on one of these factors, the use of all three data points can be utilized to distinguish and differentiate biochemicals.  More than 3300 commercially available purified standard compounds have been acquired and registered into LIMS for distribution to both the LC-MS and GC-MS platforms for determination of their analytical characteristics.  Additional mass spectral entries have been created for structurally unnamed biochemicals, which have been identified by virtue of their recurrent nature (both chromatographic and mass spectral).  These compounds have the potential to be identified by future acquisition of a matching purified standard or by classical structural analysis.</w:t>
      </w:r>
    </w:p>
    <w:p w14:paraId="2D0E95EE" w14:textId="77777777" w:rsidR="00F03CD3" w:rsidRPr="001C5FB8" w:rsidRDefault="00F03CD3" w:rsidP="00F03CD3">
      <w:pPr>
        <w:jc w:val="both"/>
        <w:rPr>
          <w:rFonts w:asciiTheme="minorHAnsi" w:hAnsiTheme="minorHAnsi" w:cstheme="minorHAnsi"/>
          <w:szCs w:val="24"/>
        </w:rPr>
      </w:pPr>
      <w:r w:rsidRPr="001C5FB8">
        <w:rPr>
          <w:rFonts w:asciiTheme="minorHAnsi" w:hAnsiTheme="minorHAnsi" w:cstheme="minorHAnsi"/>
          <w:b/>
          <w:szCs w:val="24"/>
        </w:rPr>
        <w:t>Curation:</w:t>
      </w:r>
      <w:r w:rsidRPr="001C5FB8">
        <w:rPr>
          <w:rFonts w:asciiTheme="minorHAnsi" w:hAnsiTheme="minorHAnsi" w:cstheme="minorHAnsi"/>
          <w:szCs w:val="24"/>
        </w:rPr>
        <w:t xml:space="preserve">  A variety of curation procedures were carried out to ensure that a high quality data set was made available for statistical analysis and data interpretation.  The QC and curation processes were designed to ensure accurate and consistent identification of true chemical entities, and to remove those representing system artifacts, mis-assignments, and background noise.  Metabolon data analysts use proprietary visualization and interpretation software to confirm the consistency of peak identification among the various samples.  Library matches for each compound were checked for each sample and corrected if necessary.</w:t>
      </w:r>
    </w:p>
    <w:p w14:paraId="239A9591" w14:textId="77777777" w:rsidR="00F03CD3" w:rsidRPr="001C5FB8" w:rsidRDefault="00F03CD3" w:rsidP="00E55A00">
      <w:pPr>
        <w:pageBreakBefore/>
        <w:spacing w:after="480"/>
        <w:jc w:val="both"/>
        <w:rPr>
          <w:rFonts w:asciiTheme="minorHAnsi" w:hAnsiTheme="minorHAnsi" w:cstheme="minorHAnsi"/>
          <w:szCs w:val="24"/>
        </w:rPr>
      </w:pPr>
      <w:r w:rsidRPr="001C5FB8">
        <w:rPr>
          <w:rFonts w:asciiTheme="minorHAnsi" w:hAnsiTheme="minorHAnsi" w:cstheme="minorHAnsi"/>
          <w:b/>
          <w:szCs w:val="24"/>
        </w:rPr>
        <w:lastRenderedPageBreak/>
        <w:t xml:space="preserve">Metabolite Quantification and Data Normalization:  </w:t>
      </w:r>
      <w:r w:rsidRPr="001C5FB8">
        <w:rPr>
          <w:rFonts w:asciiTheme="minorHAnsi" w:hAnsiTheme="minorHAnsi" w:cstheme="minorHAnsi"/>
          <w:szCs w:val="24"/>
        </w:rPr>
        <w:t>Peaks were quantified using area-under-the-curve.  For studies spanning multiple days, a data normalization step was performed to correct variation resulting from instrument inter-day tuning differences.  Essentially, each compound was corrected in run-day blocks by registering the medians to equal one (1.00) and normalizing each data point proportionately (termed the “block correction”; Figure 2).   For studies that did not require more than one day of analysis, no normalization is necessary, other than for purposes of data visualization.  In certain instances, biochemical data may have been normalized to an additional factor (e.g., cell counts, total protein as determined by Bradford assay, osmolality, etc.) to account for differences in metabolite levels due to differences in the amount of material present in each sample.</w:t>
      </w:r>
    </w:p>
    <w:p w14:paraId="7C68A7CD" w14:textId="77777777" w:rsidR="00DB4C08" w:rsidRDefault="00DB4C08" w:rsidP="00DB4C08">
      <w:pPr>
        <w:spacing w:before="480"/>
        <w:jc w:val="both"/>
        <w:rPr>
          <w:rFonts w:asciiTheme="minorHAnsi" w:hAnsiTheme="minorHAnsi" w:cstheme="minorHAnsi"/>
          <w:b/>
        </w:rPr>
      </w:pPr>
    </w:p>
    <w:p w14:paraId="55FA524A" w14:textId="77777777" w:rsidR="00F03CD3" w:rsidRPr="00D45713" w:rsidRDefault="00F03CD3" w:rsidP="00DB4C08">
      <w:pPr>
        <w:spacing w:before="480"/>
        <w:jc w:val="both"/>
        <w:rPr>
          <w:rFonts w:asciiTheme="minorHAnsi" w:hAnsiTheme="minorHAnsi" w:cstheme="minorHAnsi"/>
          <w:b/>
        </w:rPr>
      </w:pPr>
      <w:r w:rsidRPr="00D45713">
        <w:rPr>
          <w:rFonts w:asciiTheme="minorHAnsi" w:hAnsiTheme="minorHAnsi" w:cstheme="minorHAnsi"/>
          <w:noProof/>
        </w:rPr>
        <w:drawing>
          <wp:anchor distT="0" distB="0" distL="114300" distR="114300" simplePos="0" relativeHeight="251658240" behindDoc="0" locked="0" layoutInCell="1" allowOverlap="1" wp14:anchorId="129CA9C6" wp14:editId="1F29D0B2">
            <wp:simplePos x="0" y="0"/>
            <wp:positionH relativeFrom="column">
              <wp:posOffset>685800</wp:posOffset>
            </wp:positionH>
            <wp:positionV relativeFrom="paragraph">
              <wp:posOffset>86995</wp:posOffset>
            </wp:positionV>
            <wp:extent cx="4324350" cy="1914525"/>
            <wp:effectExtent l="19050" t="0" r="0" b="0"/>
            <wp:wrapTopAndBottom/>
            <wp:docPr id="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4324350" cy="1914525"/>
                    </a:xfrm>
                    <a:prstGeom prst="rect">
                      <a:avLst/>
                    </a:prstGeom>
                    <a:noFill/>
                    <a:ln w="9525">
                      <a:noFill/>
                      <a:miter lim="800000"/>
                      <a:headEnd/>
                      <a:tailEnd/>
                    </a:ln>
                  </pic:spPr>
                </pic:pic>
              </a:graphicData>
            </a:graphic>
          </wp:anchor>
        </w:drawing>
      </w:r>
      <w:r>
        <w:rPr>
          <w:rFonts w:asciiTheme="minorHAnsi" w:hAnsiTheme="minorHAnsi" w:cstheme="minorHAnsi"/>
          <w:b/>
        </w:rPr>
        <w:t>Figure 2</w:t>
      </w:r>
      <w:r w:rsidRPr="00D45713">
        <w:rPr>
          <w:rFonts w:asciiTheme="minorHAnsi" w:hAnsiTheme="minorHAnsi" w:cstheme="minorHAnsi"/>
          <w:b/>
        </w:rPr>
        <w:t xml:space="preserve">:  </w:t>
      </w:r>
      <w:r w:rsidRPr="00223A57">
        <w:rPr>
          <w:rFonts w:asciiTheme="minorHAnsi" w:hAnsiTheme="minorHAnsi" w:cstheme="minorHAnsi"/>
          <w:b/>
        </w:rPr>
        <w:t>Visualization of data normalization steps for a multiday platform run.</w:t>
      </w:r>
      <w:r w:rsidRPr="00D45713">
        <w:rPr>
          <w:rFonts w:asciiTheme="minorHAnsi" w:hAnsiTheme="minorHAnsi" w:cstheme="minorHAnsi"/>
          <w:b/>
        </w:rPr>
        <w:t xml:space="preserve"> </w:t>
      </w:r>
    </w:p>
    <w:p w14:paraId="7F33D398" w14:textId="77777777" w:rsidR="00F03CD3" w:rsidRPr="00D45713" w:rsidRDefault="00F03CD3" w:rsidP="00F03CD3">
      <w:pPr>
        <w:rPr>
          <w:rFonts w:asciiTheme="minorHAnsi" w:hAnsiTheme="minorHAnsi" w:cstheme="minorHAnsi"/>
        </w:rPr>
      </w:pPr>
      <w:r w:rsidRPr="00D45713">
        <w:rPr>
          <w:rFonts w:asciiTheme="minorHAnsi" w:hAnsiTheme="minorHAnsi" w:cstheme="minorHAnsi"/>
        </w:rPr>
        <w:br w:type="page"/>
      </w:r>
    </w:p>
    <w:p w14:paraId="024971F2" w14:textId="77777777" w:rsidR="00F03CD3" w:rsidRPr="005932D1" w:rsidRDefault="00F03CD3" w:rsidP="006B68B2">
      <w:pPr>
        <w:pStyle w:val="Heading2"/>
        <w:pageBreakBefore/>
      </w:pPr>
      <w:bookmarkStart w:id="25" w:name="_Toc384307554"/>
      <w:bookmarkStart w:id="26" w:name="_Toc414973056"/>
      <w:r w:rsidRPr="005932D1">
        <w:lastRenderedPageBreak/>
        <w:t xml:space="preserve">Statistical Methods and </w:t>
      </w:r>
      <w:r w:rsidRPr="00E57B70">
        <w:t>Terminology</w:t>
      </w:r>
      <w:bookmarkEnd w:id="25"/>
      <w:bookmarkEnd w:id="26"/>
    </w:p>
    <w:p w14:paraId="56A510FA" w14:textId="77777777" w:rsidR="00F03CD3" w:rsidRPr="00D45713" w:rsidRDefault="00F03CD3" w:rsidP="00F03CD3">
      <w:pPr>
        <w:jc w:val="both"/>
        <w:rPr>
          <w:rFonts w:asciiTheme="minorHAnsi" w:hAnsiTheme="minorHAnsi" w:cstheme="minorHAnsi"/>
          <w:b/>
        </w:rPr>
      </w:pPr>
    </w:p>
    <w:p w14:paraId="15892C47" w14:textId="77777777" w:rsidR="00F03CD3" w:rsidRPr="00D45713" w:rsidRDefault="00F03CD3" w:rsidP="00111C42">
      <w:pPr>
        <w:spacing w:after="120"/>
        <w:jc w:val="both"/>
        <w:rPr>
          <w:rFonts w:asciiTheme="minorHAnsi" w:hAnsiTheme="minorHAnsi" w:cstheme="minorHAnsi"/>
        </w:rPr>
      </w:pPr>
      <w:r w:rsidRPr="00D45713">
        <w:rPr>
          <w:rFonts w:asciiTheme="minorHAnsi" w:hAnsiTheme="minorHAnsi" w:cstheme="minorHAnsi"/>
          <w:b/>
        </w:rPr>
        <w:t>Statistical Calculations:</w:t>
      </w:r>
      <w:r w:rsidRPr="00D45713">
        <w:rPr>
          <w:rFonts w:asciiTheme="minorHAnsi" w:hAnsiTheme="minorHAnsi" w:cstheme="minorHAnsi"/>
        </w:rPr>
        <w:t xml:space="preserve">  For many studies, two types of statistical analysis are usually performed: (1) significance tests and (2) classification analysis.  Standard statistical analyses are performed in ArrayStudio on log transformed data.   For those analyses not standard in ArrayStudio, the programs R (</w:t>
      </w:r>
      <w:hyperlink r:id="rId18" w:history="1">
        <w:r w:rsidRPr="00D45713">
          <w:rPr>
            <w:rStyle w:val="Hyperlink"/>
            <w:rFonts w:asciiTheme="minorHAnsi" w:hAnsiTheme="minorHAnsi" w:cstheme="minorHAnsi"/>
          </w:rPr>
          <w:t>http://cran.r-project.org/</w:t>
        </w:r>
      </w:hyperlink>
      <w:r w:rsidRPr="00D45713">
        <w:rPr>
          <w:rFonts w:asciiTheme="minorHAnsi" w:hAnsiTheme="minorHAnsi" w:cstheme="minorHAnsi"/>
        </w:rPr>
        <w:t xml:space="preserve">) or JMP are used.  Below are examples of frequently employed significance tests and classification methods followed by a discussion of p- and q-value significance thresholds. </w:t>
      </w:r>
    </w:p>
    <w:p w14:paraId="4A746806"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 xml:space="preserve">Welch’s two-sample </w:t>
      </w:r>
      <w:r w:rsidRPr="00D45713">
        <w:rPr>
          <w:rFonts w:asciiTheme="minorHAnsi" w:hAnsiTheme="minorHAnsi" w:cstheme="minorHAnsi"/>
          <w:b/>
          <w:i/>
        </w:rPr>
        <w:t>t</w:t>
      </w:r>
      <w:r w:rsidRPr="00D45713">
        <w:rPr>
          <w:rFonts w:asciiTheme="minorHAnsi" w:hAnsiTheme="minorHAnsi" w:cstheme="minorHAnsi"/>
          <w:b/>
        </w:rPr>
        <w:t>-test</w:t>
      </w:r>
    </w:p>
    <w:p w14:paraId="6EC78BEA"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Welch’s two-sample </w:t>
      </w:r>
      <w:r w:rsidRPr="00D45713">
        <w:rPr>
          <w:rFonts w:asciiTheme="minorHAnsi" w:hAnsiTheme="minorHAnsi" w:cstheme="minorHAnsi"/>
          <w:i/>
        </w:rPr>
        <w:t>t</w:t>
      </w:r>
      <w:r w:rsidRPr="00D45713">
        <w:rPr>
          <w:rFonts w:asciiTheme="minorHAnsi" w:hAnsiTheme="minorHAnsi" w:cstheme="minorHAnsi"/>
        </w:rPr>
        <w:t xml:space="preserve">-test is used to test whether two unknown means are different from two independent populations.   </w:t>
      </w:r>
    </w:p>
    <w:p w14:paraId="784F72C3" w14:textId="77777777" w:rsidR="00F03CD3" w:rsidRPr="00D45713" w:rsidRDefault="00F03CD3" w:rsidP="00F03CD3">
      <w:pPr>
        <w:pStyle w:val="ListParagraph"/>
        <w:jc w:val="both"/>
        <w:rPr>
          <w:rFonts w:asciiTheme="minorHAnsi" w:hAnsiTheme="minorHAnsi" w:cstheme="minorHAnsi"/>
        </w:rPr>
      </w:pPr>
    </w:p>
    <w:p w14:paraId="1AF28C44" w14:textId="77777777" w:rsidR="00F03CD3" w:rsidRPr="00D45713" w:rsidRDefault="00F03CD3" w:rsidP="00F03CD3">
      <w:pPr>
        <w:pStyle w:val="ListParagraph"/>
        <w:jc w:val="both"/>
        <w:rPr>
          <w:rFonts w:asciiTheme="minorHAnsi" w:eastAsiaTheme="minorEastAsia" w:hAnsiTheme="minorHAnsi" w:cstheme="minorHAnsi"/>
        </w:rPr>
      </w:pPr>
      <w:r w:rsidRPr="00D45713">
        <w:rPr>
          <w:rFonts w:asciiTheme="minorHAnsi" w:hAnsiTheme="minorHAnsi" w:cstheme="minorHAnsi"/>
        </w:rPr>
        <w:t xml:space="preserve">This version of the two-sample </w:t>
      </w:r>
      <w:r w:rsidRPr="00D45713">
        <w:rPr>
          <w:rFonts w:asciiTheme="minorHAnsi" w:hAnsiTheme="minorHAnsi" w:cstheme="minorHAnsi"/>
          <w:i/>
        </w:rPr>
        <w:t>t</w:t>
      </w:r>
      <w:r w:rsidRPr="00D45713">
        <w:rPr>
          <w:rFonts w:asciiTheme="minorHAnsi" w:hAnsiTheme="minorHAnsi" w:cstheme="minorHAnsi"/>
        </w:rPr>
        <w:t xml:space="preserve">-test allows for unequal variances (variance is the square of the standard deviation) and has an </w:t>
      </w:r>
      <w:r w:rsidRPr="00D45713">
        <w:rPr>
          <w:rFonts w:asciiTheme="minorHAnsi" w:hAnsiTheme="minorHAnsi" w:cstheme="minorHAnsi"/>
          <w:i/>
        </w:rPr>
        <w:t>approximate</w:t>
      </w:r>
      <w:r w:rsidRPr="00D45713">
        <w:rPr>
          <w:rFonts w:asciiTheme="minorHAnsi" w:hAnsiTheme="minorHAnsi" w:cstheme="minorHAnsi"/>
        </w:rPr>
        <w:t xml:space="preserve"> </w:t>
      </w:r>
      <w:r w:rsidRPr="00D45713">
        <w:rPr>
          <w:rFonts w:asciiTheme="minorHAnsi" w:hAnsiTheme="minorHAnsi" w:cstheme="minorHAnsi"/>
          <w:i/>
        </w:rPr>
        <w:t>t</w:t>
      </w:r>
      <w:r w:rsidRPr="00D45713">
        <w:rPr>
          <w:rFonts w:asciiTheme="minorHAnsi" w:hAnsiTheme="minorHAnsi" w:cstheme="minorHAnsi"/>
        </w:rPr>
        <w:t xml:space="preserve">-distribution with degrees of freedom estimated using Satterthwaite’s approximation.  The test statistic is given by </w:t>
      </w:r>
      <w:r w:rsidRPr="00D45713">
        <w:rPr>
          <w:rFonts w:asciiTheme="minorHAnsi" w:hAnsiTheme="minorHAnsi" w:cstheme="minorHAnsi"/>
          <w:i/>
        </w:rPr>
        <w:t>t</w:t>
      </w:r>
      <m:oMath>
        <m:r>
          <w:rPr>
            <w:rFonts w:ascii="Cambria Math" w:hAnsi="Cambria Math" w:cstheme="minorHAnsi"/>
          </w:rPr>
          <m: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r>
          <w:rPr>
            <w:rFonts w:ascii="Cambria Math" w:hAnsi="Cambria Math" w:cstheme="minorHAnsi"/>
          </w:rPr>
          <m:t>)/</m:t>
        </m:r>
        <m:rad>
          <m:radPr>
            <m:degHide m:val="1"/>
            <m:ctrlPr>
              <w:rPr>
                <w:rFonts w:ascii="Cambria Math" w:hAnsi="Cambria Math" w:cstheme="minorHAnsi"/>
                <w:i/>
              </w:rPr>
            </m:ctrlPr>
          </m:radPr>
          <m:deg/>
          <m:e>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1</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1</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2</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2</m:t>
                </m:r>
              </m:sub>
            </m:sSub>
          </m:e>
        </m:rad>
      </m:oMath>
      <w:r w:rsidRPr="00D45713">
        <w:rPr>
          <w:rFonts w:asciiTheme="minorHAnsi" w:eastAsiaTheme="minorEastAsia" w:hAnsiTheme="minorHAnsi" w:cstheme="minorHAnsi"/>
        </w:rPr>
        <w:t xml:space="preserve"> , and the degrees of freedom is given by </w:t>
      </w:r>
      <m:oMath>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1</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1</m:t>
                        </m:r>
                      </m:sub>
                    </m:sSub>
                  </m:den>
                </m:f>
                <m:r>
                  <w:rPr>
                    <w:rFonts w:ascii="Cambria Math" w:eastAsiaTheme="minorEastAsia" w:hAnsi="Cambria Math" w:cstheme="minorHAnsi"/>
                  </w:rPr>
                  <m:t>+</m:t>
                </m:r>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2</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2</m:t>
                        </m:r>
                      </m:sub>
                    </m:sSub>
                  </m:den>
                </m:f>
              </m:e>
            </m:d>
          </m:e>
          <m:sup>
            <m:r>
              <w:rPr>
                <w:rFonts w:ascii="Cambria Math" w:eastAsiaTheme="minorEastAsia" w:hAnsi="Cambria Math" w:cstheme="minorHAnsi"/>
              </w:rPr>
              <m:t>2</m:t>
            </m:r>
          </m:sup>
        </m:sSup>
        <m:r>
          <w:rPr>
            <w:rFonts w:ascii="Cambria Math" w:eastAsiaTheme="minorEastAsia" w:hAnsi="Cambria Math" w:cstheme="minorHAnsi"/>
          </w:rPr>
          <m:t>/</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1</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1</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1</m:t>
                    </m:r>
                  </m:sub>
                </m:sSub>
                <m:r>
                  <w:rPr>
                    <w:rFonts w:ascii="Cambria Math" w:eastAsiaTheme="minorEastAsia" w:hAnsi="Cambria Math" w:cstheme="minorHAnsi"/>
                  </w:rPr>
                  <m:t>-1</m:t>
                </m:r>
              </m:den>
            </m:f>
            <m:r>
              <w:rPr>
                <w:rFonts w:ascii="Cambria Math" w:eastAsiaTheme="minorEastAsia" w:hAnsi="Cambria Math" w:cstheme="minorHAnsi"/>
              </w:rPr>
              <m:t>+</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2</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2</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2</m:t>
                    </m:r>
                  </m:sub>
                </m:sSub>
                <m:r>
                  <w:rPr>
                    <w:rFonts w:ascii="Cambria Math" w:eastAsiaTheme="minorEastAsia" w:hAnsi="Cambria Math" w:cstheme="minorHAnsi"/>
                  </w:rPr>
                  <m:t>-1</m:t>
                </m:r>
              </m:den>
            </m:f>
          </m:e>
        </m:d>
      </m:oMath>
      <w:r w:rsidRPr="00D45713">
        <w:rPr>
          <w:rFonts w:asciiTheme="minorHAnsi" w:eastAsiaTheme="minorEastAsia" w:hAnsiTheme="minorHAnsi" w:cstheme="minorHAnsi"/>
        </w:rPr>
        <w:t xml:space="preserve"> , where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oMath>
      <w:r w:rsidRPr="00D45713">
        <w:rPr>
          <w:rFonts w:asciiTheme="minorHAnsi" w:eastAsiaTheme="minorEastAsia" w:hAnsiTheme="minorHAnsi" w:cstheme="minorHAnsi"/>
        </w:rPr>
        <w:t xml:space="preserv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oMath>
      <w:r w:rsidRPr="00D45713">
        <w:rPr>
          <w:rFonts w:asciiTheme="minorHAnsi" w:eastAsiaTheme="minorEastAsia" w:hAnsiTheme="minorHAnsi" w:cstheme="minorHAnsi"/>
        </w:rPr>
        <w:t xml:space="preserve"> are the sample means, s</w:t>
      </w:r>
      <w:r w:rsidRPr="00D45713">
        <w:rPr>
          <w:rFonts w:asciiTheme="minorHAnsi" w:eastAsiaTheme="minorEastAsia" w:hAnsiTheme="minorHAnsi" w:cstheme="minorHAnsi"/>
          <w:vertAlign w:val="subscript"/>
        </w:rPr>
        <w:t>1</w:t>
      </w:r>
      <w:r w:rsidRPr="00D45713">
        <w:rPr>
          <w:rFonts w:asciiTheme="minorHAnsi" w:eastAsiaTheme="minorEastAsia" w:hAnsiTheme="minorHAnsi" w:cstheme="minorHAnsi"/>
        </w:rPr>
        <w:t>, s</w:t>
      </w:r>
      <w:r w:rsidRPr="00D45713">
        <w:rPr>
          <w:rFonts w:asciiTheme="minorHAnsi" w:eastAsiaTheme="minorEastAsia" w:hAnsiTheme="minorHAnsi" w:cstheme="minorHAnsi"/>
          <w:vertAlign w:val="subscript"/>
        </w:rPr>
        <w:t>2</w:t>
      </w:r>
      <w:r w:rsidRPr="00D45713">
        <w:rPr>
          <w:rFonts w:asciiTheme="minorHAnsi" w:eastAsiaTheme="minorEastAsia" w:hAnsiTheme="minorHAnsi" w:cstheme="minorHAnsi"/>
        </w:rPr>
        <w:t>, are the sample standard deviations, and n</w:t>
      </w:r>
      <w:r w:rsidRPr="00D45713">
        <w:rPr>
          <w:rFonts w:asciiTheme="minorHAnsi" w:eastAsiaTheme="minorEastAsia" w:hAnsiTheme="minorHAnsi" w:cstheme="minorHAnsi"/>
          <w:vertAlign w:val="subscript"/>
        </w:rPr>
        <w:t>1</w:t>
      </w:r>
      <w:r w:rsidRPr="00D45713">
        <w:rPr>
          <w:rFonts w:asciiTheme="minorHAnsi" w:eastAsiaTheme="minorEastAsia" w:hAnsiTheme="minorHAnsi" w:cstheme="minorHAnsi"/>
        </w:rPr>
        <w:t>, n</w:t>
      </w:r>
      <w:r w:rsidRPr="00D45713">
        <w:rPr>
          <w:rFonts w:asciiTheme="minorHAnsi" w:eastAsiaTheme="minorEastAsia" w:hAnsiTheme="minorHAnsi" w:cstheme="minorHAnsi"/>
          <w:vertAlign w:val="subscript"/>
        </w:rPr>
        <w:t>2</w:t>
      </w:r>
      <w:r w:rsidRPr="00D45713">
        <w:rPr>
          <w:rFonts w:asciiTheme="minorHAnsi" w:eastAsiaTheme="minorEastAsia" w:hAnsiTheme="minorHAnsi" w:cstheme="minorHAnsi"/>
        </w:rPr>
        <w:t xml:space="preserve"> are the samples sizes from groups 1 and 2, respectively.  We typically use a two-sided test (tests whether the means are different) as opposed to a one-sided test (tests whether one mean is greater than the other).</w:t>
      </w:r>
    </w:p>
    <w:p w14:paraId="65FBD60E" w14:textId="77777777" w:rsidR="00F03CD3" w:rsidRPr="00D45713" w:rsidRDefault="00F03CD3" w:rsidP="00F03CD3">
      <w:pPr>
        <w:jc w:val="both"/>
        <w:rPr>
          <w:rFonts w:asciiTheme="minorHAnsi" w:hAnsiTheme="minorHAnsi" w:cstheme="minorHAnsi"/>
        </w:rPr>
      </w:pPr>
    </w:p>
    <w:p w14:paraId="094FD0A0"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 xml:space="preserve">Matched Pairs </w:t>
      </w:r>
      <w:r w:rsidRPr="00D45713">
        <w:rPr>
          <w:rFonts w:asciiTheme="minorHAnsi" w:hAnsiTheme="minorHAnsi" w:cstheme="minorHAnsi"/>
          <w:b/>
          <w:i/>
        </w:rPr>
        <w:t>t</w:t>
      </w:r>
      <w:r w:rsidRPr="00D45713">
        <w:rPr>
          <w:rFonts w:asciiTheme="minorHAnsi" w:hAnsiTheme="minorHAnsi" w:cstheme="minorHAnsi"/>
          <w:b/>
        </w:rPr>
        <w:t>-test</w:t>
      </w:r>
    </w:p>
    <w:p w14:paraId="56032F10"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matched pairs </w:t>
      </w:r>
      <w:r w:rsidRPr="00D45713">
        <w:rPr>
          <w:rFonts w:asciiTheme="minorHAnsi" w:hAnsiTheme="minorHAnsi" w:cstheme="minorHAnsi"/>
          <w:i/>
        </w:rPr>
        <w:t>t</w:t>
      </w:r>
      <w:r w:rsidRPr="00D45713">
        <w:rPr>
          <w:rFonts w:asciiTheme="minorHAnsi" w:hAnsiTheme="minorHAnsi" w:cstheme="minorHAnsi"/>
        </w:rPr>
        <w:t>-test is used to test whether two unknown means are different from paired observations taken on the same subjects.</w:t>
      </w:r>
    </w:p>
    <w:p w14:paraId="533167B5" w14:textId="77777777" w:rsidR="00F03CD3" w:rsidRPr="00D45713" w:rsidRDefault="00F03CD3" w:rsidP="00F03CD3">
      <w:pPr>
        <w:pStyle w:val="ListParagraph"/>
        <w:jc w:val="both"/>
        <w:rPr>
          <w:rFonts w:asciiTheme="minorHAnsi" w:hAnsiTheme="minorHAnsi" w:cstheme="minorHAnsi"/>
        </w:rPr>
      </w:pPr>
    </w:p>
    <w:p w14:paraId="29645E00"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matched pairs </w:t>
      </w:r>
      <w:r w:rsidRPr="00D45713">
        <w:rPr>
          <w:rFonts w:asciiTheme="minorHAnsi" w:hAnsiTheme="minorHAnsi" w:cstheme="minorHAnsi"/>
          <w:i/>
        </w:rPr>
        <w:t>t</w:t>
      </w:r>
      <w:r w:rsidRPr="00D45713">
        <w:rPr>
          <w:rFonts w:asciiTheme="minorHAnsi" w:hAnsiTheme="minorHAnsi" w:cstheme="minorHAnsi"/>
        </w:rPr>
        <w:t xml:space="preserve">-test is equivalent to the one-sample </w:t>
      </w:r>
      <w:r w:rsidRPr="00D45713">
        <w:rPr>
          <w:rFonts w:asciiTheme="minorHAnsi" w:hAnsiTheme="minorHAnsi" w:cstheme="minorHAnsi"/>
          <w:i/>
        </w:rPr>
        <w:t>t</w:t>
      </w:r>
      <w:r w:rsidRPr="00D45713">
        <w:rPr>
          <w:rFonts w:asciiTheme="minorHAnsi" w:hAnsiTheme="minorHAnsi" w:cstheme="minorHAnsi"/>
        </w:rPr>
        <w:t>-test performed on the differences of the observations taken on each subject (i.e., calculate (x</w:t>
      </w:r>
      <w:r w:rsidRPr="00D45713">
        <w:rPr>
          <w:rFonts w:asciiTheme="minorHAnsi" w:hAnsiTheme="minorHAnsi" w:cstheme="minorHAnsi"/>
          <w:vertAlign w:val="subscript"/>
        </w:rPr>
        <w:t>1</w:t>
      </w:r>
      <w:r w:rsidRPr="00D45713">
        <w:rPr>
          <w:rFonts w:asciiTheme="minorHAnsi" w:hAnsiTheme="minorHAnsi" w:cstheme="minorHAnsi"/>
        </w:rPr>
        <w:t xml:space="preserve"> – x</w:t>
      </w:r>
      <w:r w:rsidRPr="00D45713">
        <w:rPr>
          <w:rFonts w:asciiTheme="minorHAnsi" w:hAnsiTheme="minorHAnsi" w:cstheme="minorHAnsi"/>
          <w:vertAlign w:val="subscript"/>
        </w:rPr>
        <w:t>2</w:t>
      </w:r>
      <w:r w:rsidRPr="00D45713">
        <w:rPr>
          <w:rFonts w:asciiTheme="minorHAnsi" w:hAnsiTheme="minorHAnsi" w:cstheme="minorHAnsi"/>
        </w:rPr>
        <w:t xml:space="preserve">) for each subject; test whether the mean difference is zero or not).    The test statistic is given by </w:t>
      </w:r>
      <m:oMath>
        <m:r>
          <w:rPr>
            <w:rFonts w:ascii="Cambria Math" w:hAnsi="Cambria Math" w:cstheme="minorHAnsi"/>
          </w:rPr>
          <m:t>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r>
          <w:rPr>
            <w:rFonts w:ascii="Cambria Math" w:hAnsi="Cambria Math" w:cstheme="minorHAnsi"/>
          </w:rPr>
          <m:t>)/n</m:t>
        </m:r>
      </m:oMath>
      <w:r w:rsidRPr="00D45713">
        <w:rPr>
          <w:rFonts w:asciiTheme="minorHAnsi" w:eastAsiaTheme="minorEastAsia" w:hAnsiTheme="minorHAnsi" w:cstheme="minorHAnsi"/>
        </w:rPr>
        <w:t xml:space="preserve">, with </w:t>
      </w:r>
      <w:r w:rsidRPr="00D45713">
        <w:rPr>
          <w:rFonts w:asciiTheme="minorHAnsi" w:eastAsiaTheme="minorEastAsia" w:hAnsiTheme="minorHAnsi" w:cstheme="minorHAnsi"/>
          <w:i/>
        </w:rPr>
        <w:t>n</w:t>
      </w:r>
      <w:r w:rsidRPr="00D45713">
        <w:rPr>
          <w:rFonts w:asciiTheme="minorHAnsi" w:eastAsiaTheme="minorEastAsia" w:hAnsiTheme="minorHAnsi" w:cstheme="minorHAnsi"/>
        </w:rPr>
        <w:t xml:space="preserve"> – 1 degrees of freedom, where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oMath>
      <w:r w:rsidRPr="00D45713">
        <w:rPr>
          <w:rFonts w:asciiTheme="minorHAnsi" w:eastAsiaTheme="minorEastAsia" w:hAnsiTheme="minorHAnsi" w:cstheme="minorHAnsi"/>
        </w:rPr>
        <w:t xml:space="preserv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oMath>
      <w:r w:rsidRPr="00D45713">
        <w:rPr>
          <w:rFonts w:asciiTheme="minorHAnsi" w:eastAsiaTheme="minorEastAsia" w:hAnsiTheme="minorHAnsi" w:cstheme="minorHAnsi"/>
        </w:rPr>
        <w:t xml:space="preserve"> are the sample means for groups 1 and 2, respectively, s</w:t>
      </w:r>
      <w:r w:rsidRPr="00D45713">
        <w:rPr>
          <w:rFonts w:asciiTheme="minorHAnsi" w:eastAsiaTheme="minorEastAsia" w:hAnsiTheme="minorHAnsi" w:cstheme="minorHAnsi"/>
          <w:vertAlign w:val="subscript"/>
        </w:rPr>
        <w:t>d</w:t>
      </w:r>
      <w:r w:rsidRPr="00D45713">
        <w:rPr>
          <w:rFonts w:asciiTheme="minorHAnsi" w:eastAsiaTheme="minorEastAsia" w:hAnsiTheme="minorHAnsi" w:cstheme="minorHAnsi"/>
        </w:rPr>
        <w:t xml:space="preserve"> is the standard deviation of the differences, </w:t>
      </w:r>
      <w:r w:rsidRPr="00D45713">
        <w:rPr>
          <w:rFonts w:asciiTheme="minorHAnsi" w:eastAsiaTheme="minorEastAsia" w:hAnsiTheme="minorHAnsi" w:cstheme="minorHAnsi"/>
          <w:i/>
        </w:rPr>
        <w:t>n</w:t>
      </w:r>
      <w:r w:rsidRPr="00D45713">
        <w:rPr>
          <w:rFonts w:asciiTheme="minorHAnsi" w:eastAsiaTheme="minorEastAsia" w:hAnsiTheme="minorHAnsi" w:cstheme="minorHAnsi"/>
        </w:rPr>
        <w:t xml:space="preserve"> is the number of </w:t>
      </w:r>
      <w:r w:rsidRPr="00D45713">
        <w:rPr>
          <w:rFonts w:asciiTheme="minorHAnsi" w:eastAsiaTheme="minorEastAsia" w:hAnsiTheme="minorHAnsi" w:cstheme="minorHAnsi"/>
          <w:i/>
        </w:rPr>
        <w:t>subjects</w:t>
      </w:r>
      <w:r w:rsidRPr="00D45713">
        <w:rPr>
          <w:rFonts w:asciiTheme="minorHAnsi" w:eastAsiaTheme="minorEastAsia" w:hAnsiTheme="minorHAnsi" w:cstheme="minorHAnsi"/>
        </w:rPr>
        <w:t xml:space="preserve"> (so there are 2</w:t>
      </w:r>
      <w:r w:rsidRPr="00D45713">
        <w:rPr>
          <w:rFonts w:asciiTheme="minorHAnsi" w:eastAsiaTheme="minorEastAsia" w:hAnsiTheme="minorHAnsi" w:cstheme="minorHAnsi"/>
          <w:i/>
        </w:rPr>
        <w:t>n</w:t>
      </w:r>
      <w:r w:rsidRPr="00D45713">
        <w:rPr>
          <w:rFonts w:asciiTheme="minorHAnsi" w:eastAsiaTheme="minorEastAsia" w:hAnsiTheme="minorHAnsi" w:cstheme="minorHAnsi"/>
        </w:rPr>
        <w:t xml:space="preserve"> observations).  </w:t>
      </w:r>
    </w:p>
    <w:p w14:paraId="0A76F846" w14:textId="77777777" w:rsidR="00F03CD3" w:rsidRPr="00D45713" w:rsidRDefault="00F03CD3" w:rsidP="00F03CD3">
      <w:pPr>
        <w:jc w:val="both"/>
        <w:rPr>
          <w:rFonts w:asciiTheme="minorHAnsi" w:hAnsiTheme="minorHAnsi" w:cstheme="minorHAnsi"/>
        </w:rPr>
      </w:pPr>
    </w:p>
    <w:p w14:paraId="111F59D8"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 xml:space="preserve">One-way ANOVA </w:t>
      </w:r>
    </w:p>
    <w:p w14:paraId="7AC660B9"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ANOVA stands for analysis of variance.   For ANOVA, it is assumed that all populations have the same variances.   One-way ANOVA is used to test whether at least two unknown means are all equal or whether at least one pair of means is different.  For the case of two means, ANOVA gives the same result as a two-sided </w:t>
      </w:r>
      <w:r w:rsidRPr="00D45713">
        <w:rPr>
          <w:rFonts w:asciiTheme="minorHAnsi" w:hAnsiTheme="minorHAnsi" w:cstheme="minorHAnsi"/>
          <w:i/>
        </w:rPr>
        <w:t>t</w:t>
      </w:r>
      <w:r w:rsidRPr="00D45713">
        <w:rPr>
          <w:rFonts w:asciiTheme="minorHAnsi" w:hAnsiTheme="minorHAnsi" w:cstheme="minorHAnsi"/>
        </w:rPr>
        <w:t xml:space="preserve">-test with a pooled estimate of the variance.    </w:t>
      </w:r>
    </w:p>
    <w:p w14:paraId="27798E52" w14:textId="77777777" w:rsidR="00F03CD3" w:rsidRPr="00D45713" w:rsidRDefault="00F03CD3" w:rsidP="00F03CD3">
      <w:pPr>
        <w:pStyle w:val="ListParagraph"/>
        <w:jc w:val="both"/>
        <w:rPr>
          <w:rFonts w:asciiTheme="minorHAnsi" w:hAnsiTheme="minorHAnsi" w:cstheme="minorHAnsi"/>
        </w:rPr>
      </w:pPr>
    </w:p>
    <w:p w14:paraId="7D55B607"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An ANOVA uses an F-test which has two parameters – the numerator degrees of freedom and the denominator degrees of freedom.    The degrees of freedom in the numerator are equal to </w:t>
      </w:r>
      <w:r w:rsidRPr="00D45713">
        <w:rPr>
          <w:rFonts w:asciiTheme="minorHAnsi" w:hAnsiTheme="minorHAnsi" w:cstheme="minorHAnsi"/>
          <w:i/>
        </w:rPr>
        <w:t xml:space="preserve">g </w:t>
      </w:r>
      <w:r w:rsidRPr="00D45713">
        <w:rPr>
          <w:rFonts w:asciiTheme="minorHAnsi" w:hAnsiTheme="minorHAnsi" w:cstheme="minorHAnsi"/>
        </w:rPr>
        <w:t xml:space="preserve">– 1, where </w:t>
      </w:r>
      <w:r w:rsidRPr="00D45713">
        <w:rPr>
          <w:rFonts w:asciiTheme="minorHAnsi" w:hAnsiTheme="minorHAnsi" w:cstheme="minorHAnsi"/>
          <w:i/>
        </w:rPr>
        <w:t>g</w:t>
      </w:r>
      <w:r w:rsidRPr="00D45713">
        <w:rPr>
          <w:rFonts w:asciiTheme="minorHAnsi" w:hAnsiTheme="minorHAnsi" w:cstheme="minorHAnsi"/>
        </w:rPr>
        <w:t xml:space="preserve"> is the number of groups.  If </w:t>
      </w:r>
      <w:r w:rsidRPr="00D45713">
        <w:rPr>
          <w:rFonts w:asciiTheme="minorHAnsi" w:hAnsiTheme="minorHAnsi" w:cstheme="minorHAnsi"/>
          <w:i/>
        </w:rPr>
        <w:t>n</w:t>
      </w:r>
      <w:r w:rsidRPr="00D45713">
        <w:rPr>
          <w:rFonts w:asciiTheme="minorHAnsi" w:hAnsiTheme="minorHAnsi" w:cstheme="minorHAnsi"/>
        </w:rPr>
        <w:t xml:space="preserve"> is the total number of observations (</w:t>
      </w:r>
      <w:r w:rsidRPr="00D45713">
        <w:rPr>
          <w:rFonts w:asciiTheme="minorHAnsi" w:hAnsiTheme="minorHAnsi" w:cstheme="minorHAnsi"/>
          <w:i/>
        </w:rPr>
        <w:t>n</w:t>
      </w:r>
      <w:r w:rsidRPr="00D45713">
        <w:rPr>
          <w:rFonts w:asciiTheme="minorHAnsi" w:hAnsiTheme="minorHAnsi" w:cstheme="minorHAnsi"/>
          <w:vertAlign w:val="subscript"/>
        </w:rPr>
        <w:t xml:space="preserve">1 </w:t>
      </w:r>
      <w:r w:rsidRPr="00D45713">
        <w:rPr>
          <w:rFonts w:asciiTheme="minorHAnsi" w:hAnsiTheme="minorHAnsi" w:cstheme="minorHAnsi"/>
        </w:rPr>
        <w:t xml:space="preserve">+ </w:t>
      </w:r>
      <w:r w:rsidRPr="00D45713">
        <w:rPr>
          <w:rFonts w:asciiTheme="minorHAnsi" w:hAnsiTheme="minorHAnsi" w:cstheme="minorHAnsi"/>
          <w:i/>
        </w:rPr>
        <w:t>n</w:t>
      </w:r>
      <w:r w:rsidRPr="00D45713">
        <w:rPr>
          <w:rFonts w:asciiTheme="minorHAnsi" w:hAnsiTheme="minorHAnsi" w:cstheme="minorHAnsi"/>
          <w:vertAlign w:val="subscript"/>
        </w:rPr>
        <w:t>2</w:t>
      </w:r>
      <w:r w:rsidRPr="00D45713">
        <w:rPr>
          <w:rFonts w:asciiTheme="minorHAnsi" w:hAnsiTheme="minorHAnsi" w:cstheme="minorHAnsi"/>
        </w:rPr>
        <w:t xml:space="preserve">), then, the denominator degrees of freedom is equal to </w:t>
      </w:r>
      <w:r w:rsidRPr="00D45713">
        <w:rPr>
          <w:rFonts w:asciiTheme="minorHAnsi" w:hAnsiTheme="minorHAnsi" w:cstheme="minorHAnsi"/>
          <w:i/>
        </w:rPr>
        <w:t>n</w:t>
      </w:r>
      <w:r w:rsidRPr="00D45713">
        <w:rPr>
          <w:rFonts w:asciiTheme="minorHAnsi" w:hAnsiTheme="minorHAnsi" w:cstheme="minorHAnsi"/>
        </w:rPr>
        <w:t xml:space="preserve"> – </w:t>
      </w:r>
      <w:r w:rsidRPr="00D45713">
        <w:rPr>
          <w:rFonts w:asciiTheme="minorHAnsi" w:hAnsiTheme="minorHAnsi" w:cstheme="minorHAnsi"/>
          <w:i/>
        </w:rPr>
        <w:t>g</w:t>
      </w:r>
      <w:r w:rsidRPr="00D45713">
        <w:rPr>
          <w:rFonts w:asciiTheme="minorHAnsi" w:hAnsiTheme="minorHAnsi" w:cstheme="minorHAnsi"/>
        </w:rPr>
        <w:t>.  The F-statistic is the ratio of the between-groups variance to the within-groups variance, hence the higher the F-statistic the more evidence we have that the means are different.</w:t>
      </w:r>
    </w:p>
    <w:p w14:paraId="5C352D5E" w14:textId="77777777" w:rsidR="00F03CD3" w:rsidRPr="00D45713" w:rsidRDefault="00F03CD3" w:rsidP="00F03CD3">
      <w:pPr>
        <w:pStyle w:val="ListParagraph"/>
        <w:jc w:val="both"/>
        <w:rPr>
          <w:rFonts w:asciiTheme="minorHAnsi" w:hAnsiTheme="minorHAnsi" w:cstheme="minorHAnsi"/>
        </w:rPr>
      </w:pPr>
    </w:p>
    <w:p w14:paraId="7F1A4EAE"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Often within ANOVA, one performs linear contrasts for specific comparisons of interest.   For example, suppose we have three groups A, B, C, then examples of some contrasts are A vs. B, the average of A and B vs. C, etc.   For single-degree of freedom contrasts, these give the same result as a two-sided </w:t>
      </w:r>
      <w:r w:rsidRPr="00D45713">
        <w:rPr>
          <w:rFonts w:asciiTheme="minorHAnsi" w:hAnsiTheme="minorHAnsi" w:cstheme="minorHAnsi"/>
          <w:i/>
        </w:rPr>
        <w:t>t</w:t>
      </w:r>
      <w:r w:rsidRPr="00D45713">
        <w:rPr>
          <w:rFonts w:asciiTheme="minorHAnsi" w:hAnsiTheme="minorHAnsi" w:cstheme="minorHAnsi"/>
        </w:rPr>
        <w:t xml:space="preserve">-test with the pooled estimate of the variance from the ANOVA and degrees of freedom </w:t>
      </w:r>
      <w:r w:rsidRPr="00D45713">
        <w:rPr>
          <w:rFonts w:asciiTheme="minorHAnsi" w:hAnsiTheme="minorHAnsi" w:cstheme="minorHAnsi"/>
          <w:i/>
        </w:rPr>
        <w:t>n</w:t>
      </w:r>
      <w:r w:rsidRPr="00D45713">
        <w:rPr>
          <w:rFonts w:asciiTheme="minorHAnsi" w:hAnsiTheme="minorHAnsi" w:cstheme="minorHAnsi"/>
        </w:rPr>
        <w:t xml:space="preserve"> – </w:t>
      </w:r>
      <w:r w:rsidRPr="00D45713">
        <w:rPr>
          <w:rFonts w:asciiTheme="minorHAnsi" w:hAnsiTheme="minorHAnsi" w:cstheme="minorHAnsi"/>
          <w:i/>
        </w:rPr>
        <w:t>g</w:t>
      </w:r>
      <w:r w:rsidRPr="00D45713">
        <w:rPr>
          <w:rFonts w:asciiTheme="minorHAnsi" w:hAnsiTheme="minorHAnsi" w:cstheme="minorHAnsi"/>
        </w:rPr>
        <w:t>.   Below, we show the three formulas for A vs. B from a three group design as shown above.   The numerator is same in each case, but the denominator differs by the estimates of the variances, and the degrees of freedom are different for each (if the theoretical assumptions hold, then the contrast has the most power, as it has the largest degrees of freedom).</w:t>
      </w:r>
    </w:p>
    <w:p w14:paraId="2F4959C1" w14:textId="77777777" w:rsidR="00F03CD3" w:rsidRPr="00D45713" w:rsidRDefault="00F03CD3" w:rsidP="00F03CD3">
      <w:pPr>
        <w:pStyle w:val="ListParagraph"/>
        <w:jc w:val="both"/>
        <w:rPr>
          <w:rFonts w:asciiTheme="minorHAnsi" w:hAnsiTheme="minorHAnsi" w:cstheme="minorHAnsi"/>
        </w:rPr>
      </w:pPr>
    </w:p>
    <w:p w14:paraId="2C05145C"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Welch’s two-sample </w:t>
      </w:r>
      <w:r w:rsidRPr="00D45713">
        <w:rPr>
          <w:rFonts w:asciiTheme="minorHAnsi" w:hAnsiTheme="minorHAnsi" w:cstheme="minorHAnsi"/>
          <w:i/>
        </w:rPr>
        <w:t>t</w:t>
      </w:r>
      <w:r w:rsidRPr="00D45713">
        <w:rPr>
          <w:rFonts w:asciiTheme="minorHAnsi" w:hAnsiTheme="minorHAnsi" w:cstheme="minorHAnsi"/>
        </w:rPr>
        <w:t>-test</w:t>
      </w:r>
    </w:p>
    <w:p w14:paraId="59EADFB1" w14:textId="77777777" w:rsidR="00F03CD3" w:rsidRPr="00D45713" w:rsidRDefault="00F03CD3" w:rsidP="00F03CD3">
      <w:pPr>
        <w:pStyle w:val="ListParagraph"/>
        <w:jc w:val="both"/>
        <w:rPr>
          <w:rFonts w:asciiTheme="minorHAnsi" w:eastAsiaTheme="minorEastAsia" w:hAnsiTheme="minorHAnsi" w:cstheme="minorHAnsi"/>
        </w:rPr>
      </w:pPr>
      <w:r w:rsidRPr="00D45713">
        <w:rPr>
          <w:rFonts w:asciiTheme="minorHAnsi" w:hAnsiTheme="minorHAnsi" w:cstheme="minorHAnsi"/>
        </w:rPr>
        <w:t xml:space="preserve">By </w:t>
      </w:r>
      <w:r w:rsidRPr="00D45713">
        <w:rPr>
          <w:rFonts w:asciiTheme="minorHAnsi" w:hAnsiTheme="minorHAnsi" w:cstheme="minorHAnsi"/>
          <w:i/>
        </w:rPr>
        <w:t>t</w:t>
      </w:r>
      <w:r w:rsidRPr="00D45713">
        <w:rPr>
          <w:rFonts w:asciiTheme="minorHAnsi" w:hAnsiTheme="minorHAnsi" w:cstheme="minorHAnsi"/>
        </w:rPr>
        <w:t xml:space="preserve"> </w:t>
      </w:r>
      <m:oMath>
        <m:r>
          <w:rPr>
            <w:rFonts w:ascii="Cambria Math" w:hAnsi="Cambria Math" w:cstheme="minorHAnsi"/>
          </w:rPr>
          <m: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B</m:t>
            </m:r>
          </m:sub>
        </m:sSub>
        <m:r>
          <w:rPr>
            <w:rFonts w:ascii="Cambria Math" w:hAnsi="Cambria Math" w:cstheme="minorHAnsi"/>
          </w:rPr>
          <m:t>)/</m:t>
        </m:r>
        <m:rad>
          <m:radPr>
            <m:degHide m:val="1"/>
            <m:ctrlPr>
              <w:rPr>
                <w:rFonts w:ascii="Cambria Math" w:hAnsi="Cambria Math" w:cstheme="minorHAnsi"/>
                <w:i/>
              </w:rPr>
            </m:ctrlPr>
          </m:radPr>
          <m:deg/>
          <m:e>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A</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A</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B</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B</m:t>
                </m:r>
              </m:sub>
            </m:sSub>
          </m:e>
        </m:rad>
      </m:oMath>
      <w:r w:rsidRPr="00D45713">
        <w:rPr>
          <w:rFonts w:asciiTheme="minorHAnsi" w:eastAsiaTheme="minorEastAsia" w:hAnsiTheme="minorHAnsi" w:cstheme="minorHAnsi"/>
        </w:rPr>
        <w:t xml:space="preserve"> , and the degrees of freedom is given by </w:t>
      </w:r>
      <m:oMath>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den>
                </m:f>
                <m:r>
                  <w:rPr>
                    <w:rFonts w:ascii="Cambria Math" w:eastAsiaTheme="minorEastAsia" w:hAnsi="Cambria Math" w:cstheme="minorHAnsi"/>
                  </w:rPr>
                  <m:t>+</m:t>
                </m:r>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den>
                </m:f>
              </m:e>
            </m:d>
          </m:e>
          <m:sup>
            <m:r>
              <w:rPr>
                <w:rFonts w:ascii="Cambria Math" w:eastAsiaTheme="minorEastAsia" w:hAnsi="Cambria Math" w:cstheme="minorHAnsi"/>
              </w:rPr>
              <m:t>2</m:t>
            </m:r>
          </m:sup>
        </m:sSup>
        <m:r>
          <w:rPr>
            <w:rFonts w:ascii="Cambria Math" w:eastAsiaTheme="minorEastAsia" w:hAnsi="Cambria Math" w:cstheme="minorHAnsi"/>
          </w:rPr>
          <m:t>/</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-1</m:t>
                </m:r>
              </m:den>
            </m:f>
            <m:r>
              <w:rPr>
                <w:rFonts w:ascii="Cambria Math" w:eastAsiaTheme="minorEastAsia" w:hAnsi="Cambria Math" w:cstheme="minorHAnsi"/>
              </w:rPr>
              <m:t>+</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den>
                        </m:f>
                      </m:e>
                    </m:d>
                  </m:e>
                  <m:sup>
                    <m:r>
                      <w:rPr>
                        <w:rFonts w:ascii="Cambria Math" w:eastAsiaTheme="minorEastAsia" w:hAnsi="Cambria Math" w:cstheme="minorHAnsi"/>
                      </w:rPr>
                      <m:t>2</m:t>
                    </m:r>
                  </m:sup>
                </m:sSup>
              </m:num>
              <m:den>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-1</m:t>
                </m:r>
              </m:den>
            </m:f>
          </m:e>
        </m:d>
      </m:oMath>
    </w:p>
    <w:p w14:paraId="22947413" w14:textId="77777777" w:rsidR="00F03CD3" w:rsidRPr="00D45713" w:rsidRDefault="00F03CD3" w:rsidP="00F03CD3">
      <w:pPr>
        <w:pStyle w:val="ListParagraph"/>
        <w:jc w:val="both"/>
        <w:rPr>
          <w:rFonts w:asciiTheme="minorHAnsi" w:eastAsiaTheme="minorEastAsia" w:hAnsiTheme="minorHAnsi" w:cstheme="minorHAnsi"/>
        </w:rPr>
      </w:pPr>
    </w:p>
    <w:p w14:paraId="3435D086" w14:textId="77777777" w:rsidR="00F03CD3" w:rsidRPr="00D45713" w:rsidRDefault="00F03CD3" w:rsidP="00F03CD3">
      <w:pPr>
        <w:pStyle w:val="ListParagraph"/>
        <w:jc w:val="both"/>
        <w:rPr>
          <w:rFonts w:asciiTheme="minorHAnsi" w:eastAsiaTheme="minorEastAsia" w:hAnsiTheme="minorHAnsi" w:cstheme="minorHAnsi"/>
        </w:rPr>
      </w:pPr>
      <w:r w:rsidRPr="00D45713">
        <w:rPr>
          <w:rFonts w:asciiTheme="minorHAnsi" w:eastAsiaTheme="minorEastAsia" w:hAnsiTheme="minorHAnsi" w:cstheme="minorHAnsi"/>
        </w:rPr>
        <w:t xml:space="preserve">Two-sample </w:t>
      </w:r>
      <w:r w:rsidRPr="00D45713">
        <w:rPr>
          <w:rFonts w:asciiTheme="minorHAnsi" w:eastAsiaTheme="minorEastAsia" w:hAnsiTheme="minorHAnsi" w:cstheme="minorHAnsi"/>
          <w:i/>
        </w:rPr>
        <w:t>t</w:t>
      </w:r>
      <w:r w:rsidRPr="00D45713">
        <w:rPr>
          <w:rFonts w:asciiTheme="minorHAnsi" w:eastAsiaTheme="minorEastAsia" w:hAnsiTheme="minorHAnsi" w:cstheme="minorHAnsi"/>
        </w:rPr>
        <w:t>-test with pooled estimate of variance from A and B</w:t>
      </w:r>
    </w:p>
    <w:p w14:paraId="0F8D736F" w14:textId="77777777" w:rsidR="00F03CD3" w:rsidRPr="00D45713" w:rsidRDefault="00F03CD3" w:rsidP="00F03CD3">
      <w:pPr>
        <w:jc w:val="both"/>
        <w:rPr>
          <w:rFonts w:asciiTheme="minorHAnsi" w:eastAsiaTheme="minorEastAsia" w:hAnsiTheme="minorHAnsi" w:cstheme="minorHAnsi"/>
        </w:rPr>
      </w:pPr>
      <m:oMathPara>
        <m:oMath>
          <m:r>
            <w:rPr>
              <w:rFonts w:ascii="Cambria Math" w:hAnsi="Cambria Math" w:cstheme="minorHAnsi"/>
            </w:rPr>
            <m:t>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B</m:t>
              </m:r>
            </m:sub>
          </m:sSub>
          <m:r>
            <w:rPr>
              <w:rFonts w:ascii="Cambria Math" w:hAnsi="Cambria Math" w:cstheme="minorHAnsi"/>
            </w:rPr>
            <m:t>)/</m:t>
          </m:r>
          <m:rad>
            <m:radPr>
              <m:degHide m:val="1"/>
              <m:ctrlPr>
                <w:rPr>
                  <w:rFonts w:ascii="Cambria Math" w:hAnsi="Cambria Math" w:cstheme="minorHAnsi"/>
                  <w:i/>
                </w:rPr>
              </m:ctrlPr>
            </m:radPr>
            <m:deg/>
            <m:e>
              <m:sSubSup>
                <m:sSubSupPr>
                  <m:ctrlPr>
                    <w:rPr>
                      <w:rFonts w:ascii="Cambria Math" w:hAnsi="Cambria Math" w:cstheme="minorHAnsi"/>
                      <w:i/>
                    </w:rPr>
                  </m:ctrlPr>
                </m:sSubSupPr>
                <m:e>
                  <m:r>
                    <w:rPr>
                      <w:rFonts w:ascii="Cambria Math" w:hAnsi="Cambria Math" w:cstheme="minorHAnsi"/>
                    </w:rPr>
                    <m:t>s</m:t>
                  </m:r>
                </m:e>
                <m:sub>
                  <m:r>
                    <w:rPr>
                      <w:rFonts w:ascii="Cambria Math" w:hAnsi="Cambria Math" w:cstheme="minorHAnsi"/>
                    </w:rPr>
                    <m:t>AB</m:t>
                  </m:r>
                </m:sub>
                <m:sup>
                  <m:r>
                    <w:rPr>
                      <w:rFonts w:ascii="Cambria Math" w:hAnsi="Cambria Math" w:cstheme="minorHAnsi"/>
                    </w:rPr>
                    <m:t>2</m:t>
                  </m:r>
                </m:sup>
              </m:sSubSup>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B</m:t>
                  </m:r>
                </m:sub>
              </m:sSub>
            </m:e>
          </m:rad>
          <m:r>
            <w:rPr>
              <w:rFonts w:ascii="Cambria Math" w:hAnsi="Cambria Math" w:cstheme="minorHAnsi"/>
            </w:rPr>
            <m:t>)</m:t>
          </m:r>
        </m:oMath>
      </m:oMathPara>
    </w:p>
    <w:p w14:paraId="40921921" w14:textId="77777777" w:rsidR="00F03CD3" w:rsidRPr="00D45713" w:rsidRDefault="00F03CD3" w:rsidP="00F03CD3">
      <w:pPr>
        <w:ind w:left="720"/>
        <w:jc w:val="both"/>
        <w:rPr>
          <w:rFonts w:asciiTheme="minorHAnsi" w:eastAsiaTheme="minorEastAsia" w:hAnsiTheme="minorHAnsi" w:cstheme="minorHAnsi"/>
        </w:rPr>
      </w:pPr>
      <w:r w:rsidRPr="00D45713">
        <w:rPr>
          <w:rFonts w:asciiTheme="minorHAnsi" w:eastAsiaTheme="minorEastAsia" w:hAnsiTheme="minorHAnsi" w:cstheme="minorHAnsi"/>
        </w:rPr>
        <w:t xml:space="preserve">where </w:t>
      </w:r>
      <m:oMath>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AB</m:t>
            </m:r>
          </m:sub>
          <m:sup>
            <m:r>
              <w:rPr>
                <w:rFonts w:ascii="Cambria Math" w:eastAsiaTheme="minorEastAsia" w:hAnsi="Cambria Math" w:cstheme="minorHAnsi"/>
              </w:rPr>
              <m:t>2</m:t>
            </m:r>
          </m:sup>
        </m:sSubSup>
        <m:r>
          <w:rPr>
            <w:rFonts w:ascii="Cambria Math" w:eastAsiaTheme="minorEastAsia" w:hAnsi="Cambria Math" w:cstheme="minorHAnsi"/>
          </w:rPr>
          <m:t>=</m:t>
        </m:r>
        <m:d>
          <m:dPr>
            <m:ctrlPr>
              <w:rPr>
                <w:rFonts w:ascii="Cambria Math" w:eastAsiaTheme="minorEastAsia" w:hAnsi="Cambria Math" w:cstheme="minorHAnsi"/>
                <w:i/>
              </w:rPr>
            </m:ctrlPr>
          </m:dPr>
          <m:e>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r>
              <w:rPr>
                <w:rFonts w:ascii="Cambria Math" w:eastAsiaTheme="minorEastAsia" w:hAnsi="Cambria Math" w:cstheme="minorHAnsi"/>
              </w:rPr>
              <m:t>+</m:t>
            </m:r>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e>
        </m:d>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-2)</m:t>
        </m:r>
      </m:oMath>
      <w:r w:rsidRPr="00D45713">
        <w:rPr>
          <w:rFonts w:asciiTheme="minorHAnsi" w:eastAsiaTheme="minorEastAsia" w:hAnsiTheme="minorHAnsi" w:cstheme="minorHAnsi"/>
        </w:rPr>
        <w:t xml:space="preserve">,  where the degrees of freedom is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A</w:t>
      </w:r>
      <w:r w:rsidRPr="00D45713">
        <w:rPr>
          <w:rFonts w:asciiTheme="minorHAnsi" w:eastAsiaTheme="minorEastAsia" w:hAnsiTheme="minorHAnsi" w:cstheme="minorHAnsi"/>
          <w:i/>
        </w:rPr>
        <w:t xml:space="preserve"> </w:t>
      </w:r>
      <w:r w:rsidRPr="00D45713">
        <w:rPr>
          <w:rFonts w:asciiTheme="minorHAnsi" w:eastAsiaTheme="minorEastAsia" w:hAnsiTheme="minorHAnsi" w:cstheme="minorHAnsi"/>
        </w:rPr>
        <w:t xml:space="preserve">+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B</w:t>
      </w:r>
      <w:r w:rsidRPr="00D45713">
        <w:rPr>
          <w:rFonts w:asciiTheme="minorHAnsi" w:eastAsiaTheme="minorEastAsia" w:hAnsiTheme="minorHAnsi" w:cstheme="minorHAnsi"/>
        </w:rPr>
        <w:t xml:space="preserve"> – 2. </w:t>
      </w:r>
    </w:p>
    <w:p w14:paraId="3FDADC7B" w14:textId="77777777" w:rsidR="00F03CD3" w:rsidRPr="00D45713" w:rsidRDefault="00F03CD3" w:rsidP="00F03CD3">
      <w:pPr>
        <w:ind w:left="720"/>
        <w:jc w:val="both"/>
        <w:rPr>
          <w:rFonts w:asciiTheme="minorHAnsi" w:hAnsiTheme="minorHAnsi" w:cstheme="minorHAnsi"/>
        </w:rPr>
      </w:pPr>
      <w:r w:rsidRPr="00D45713">
        <w:rPr>
          <w:rFonts w:asciiTheme="minorHAnsi" w:hAnsiTheme="minorHAnsi" w:cstheme="minorHAnsi"/>
        </w:rPr>
        <w:t>The contrast from the ANOVA,</w:t>
      </w:r>
    </w:p>
    <w:p w14:paraId="4A493E30" w14:textId="77777777" w:rsidR="00F03CD3" w:rsidRPr="00D45713" w:rsidRDefault="00F03CD3" w:rsidP="00F03CD3">
      <w:pPr>
        <w:jc w:val="both"/>
        <w:rPr>
          <w:rFonts w:asciiTheme="minorHAnsi" w:hAnsiTheme="minorHAnsi" w:cstheme="minorHAnsi"/>
        </w:rPr>
      </w:pPr>
      <m:oMathPara>
        <m:oMath>
          <m:r>
            <w:rPr>
              <w:rFonts w:ascii="Cambria Math" w:hAnsi="Cambria Math" w:cstheme="minorHAnsi"/>
            </w:rPr>
            <m:t>t= (</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B</m:t>
              </m:r>
            </m:sub>
          </m:sSub>
          <m:r>
            <w:rPr>
              <w:rFonts w:ascii="Cambria Math" w:hAnsi="Cambria Math" w:cstheme="minorHAnsi"/>
            </w:rPr>
            <m:t>)/</m:t>
          </m:r>
          <m:rad>
            <m:radPr>
              <m:degHide m:val="1"/>
              <m:ctrlPr>
                <w:rPr>
                  <w:rFonts w:ascii="Cambria Math" w:hAnsi="Cambria Math" w:cstheme="minorHAnsi"/>
                  <w:i/>
                </w:rPr>
              </m:ctrlPr>
            </m:radPr>
            <m:deg/>
            <m:e>
              <m:sSup>
                <m:sSupPr>
                  <m:ctrlPr>
                    <w:rPr>
                      <w:rFonts w:ascii="Cambria Math" w:hAnsi="Cambria Math" w:cstheme="minorHAnsi"/>
                      <w:i/>
                    </w:rPr>
                  </m:ctrlPr>
                </m:sSupPr>
                <m:e>
                  <m:r>
                    <w:rPr>
                      <w:rFonts w:ascii="Cambria Math" w:hAnsi="Cambria Math" w:cstheme="minorHAnsi"/>
                    </w:rPr>
                    <m:t>s</m:t>
                  </m:r>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A</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B</m:t>
                      </m:r>
                    </m:sub>
                  </m:sSub>
                </m:e>
              </m:d>
            </m:e>
          </m:rad>
        </m:oMath>
      </m:oMathPara>
    </w:p>
    <w:p w14:paraId="76E399AA" w14:textId="77777777" w:rsidR="00F03CD3" w:rsidRPr="00D45713" w:rsidRDefault="00F03CD3" w:rsidP="00F03CD3">
      <w:pPr>
        <w:ind w:left="720"/>
        <w:jc w:val="both"/>
        <w:rPr>
          <w:rFonts w:asciiTheme="minorHAnsi" w:eastAsiaTheme="minorEastAsia" w:hAnsiTheme="minorHAnsi" w:cstheme="minorHAnsi"/>
        </w:rPr>
      </w:pPr>
      <w:r w:rsidRPr="00D45713">
        <w:rPr>
          <w:rFonts w:asciiTheme="minorHAnsi" w:hAnsiTheme="minorHAnsi" w:cstheme="minorHAnsi"/>
        </w:rPr>
        <w:t xml:space="preserve">where </w:t>
      </w:r>
      <m:oMath>
        <m:sSup>
          <m:sSupPr>
            <m:ctrlPr>
              <w:rPr>
                <w:rFonts w:ascii="Cambria Math" w:hAnsi="Cambria Math" w:cstheme="minorHAnsi"/>
                <w:i/>
              </w:rPr>
            </m:ctrlPr>
          </m:sSupPr>
          <m:e>
            <m:r>
              <w:rPr>
                <w:rFonts w:ascii="Cambria Math" w:hAnsi="Cambria Math" w:cstheme="minorHAnsi"/>
              </w:rPr>
              <m:t>s</m:t>
            </m:r>
          </m:e>
          <m:sup>
            <m:r>
              <w:rPr>
                <w:rFonts w:ascii="Cambria Math" w:hAnsi="Cambria Math" w:cstheme="minorHAnsi"/>
              </w:rPr>
              <m:t>2</m:t>
            </m:r>
          </m:sup>
        </m:sSup>
        <m:r>
          <w:rPr>
            <w:rFonts w:ascii="Cambria Math" w:eastAsiaTheme="minorEastAsia" w:hAnsi="Cambria Math" w:cstheme="minorHAnsi"/>
          </w:rPr>
          <m:t>=</m:t>
        </m:r>
        <m:d>
          <m:dPr>
            <m:ctrlPr>
              <w:rPr>
                <w:rFonts w:ascii="Cambria Math" w:eastAsiaTheme="minorEastAsia" w:hAnsi="Cambria Math" w:cstheme="minorHAnsi"/>
                <w:i/>
              </w:rPr>
            </m:ctrlPr>
          </m:dPr>
          <m:e>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A</m:t>
                </m:r>
              </m:sub>
              <m:sup>
                <m:r>
                  <w:rPr>
                    <w:rFonts w:ascii="Cambria Math" w:eastAsiaTheme="minorEastAsia" w:hAnsi="Cambria Math" w:cstheme="minorHAnsi"/>
                  </w:rPr>
                  <m:t>2</m:t>
                </m:r>
              </m:sup>
            </m:sSubSup>
            <m:r>
              <w:rPr>
                <w:rFonts w:ascii="Cambria Math" w:eastAsiaTheme="minorEastAsia" w:hAnsi="Cambria Math" w:cstheme="minorHAnsi"/>
              </w:rPr>
              <m:t>+</m:t>
            </m:r>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B</m:t>
                </m:r>
              </m:sub>
              <m:sup>
                <m:r>
                  <w:rPr>
                    <w:rFonts w:ascii="Cambria Math" w:eastAsiaTheme="minorEastAsia" w:hAnsi="Cambria Math" w:cstheme="minorHAnsi"/>
                  </w:rPr>
                  <m:t>2</m:t>
                </m:r>
              </m:sup>
            </m:sSubSup>
            <m:r>
              <w:rPr>
                <w:rFonts w:ascii="Cambria Math" w:eastAsiaTheme="minorEastAsia" w:hAnsi="Cambria Math" w:cstheme="minorHAnsi"/>
              </w:rPr>
              <m:t xml:space="preserve">  + </m:t>
            </m:r>
            <m:d>
              <m:dPr>
                <m:ctrlPr>
                  <w:rPr>
                    <w:rFonts w:ascii="Cambria Math" w:eastAsiaTheme="minorEastAsia" w:hAnsi="Cambria Math" w:cstheme="minorHAnsi"/>
                    <w:i/>
                  </w:rPr>
                </m:ctrlPr>
              </m:dPr>
              <m:e>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C</m:t>
                    </m:r>
                  </m:sub>
                </m:sSub>
                <m:r>
                  <w:rPr>
                    <w:rFonts w:ascii="Cambria Math" w:eastAsiaTheme="minorEastAsia" w:hAnsi="Cambria Math" w:cstheme="minorHAnsi"/>
                  </w:rPr>
                  <m:t>-1</m:t>
                </m:r>
              </m:e>
            </m:d>
            <m:sSubSup>
              <m:sSubSupPr>
                <m:ctrlPr>
                  <w:rPr>
                    <w:rFonts w:ascii="Cambria Math" w:eastAsiaTheme="minorEastAsia" w:hAnsi="Cambria Math" w:cstheme="minorHAnsi"/>
                    <w:i/>
                  </w:rPr>
                </m:ctrlPr>
              </m:sSubSupPr>
              <m:e>
                <m:r>
                  <w:rPr>
                    <w:rFonts w:ascii="Cambria Math" w:eastAsiaTheme="minorEastAsia" w:hAnsi="Cambria Math" w:cstheme="minorHAnsi"/>
                  </w:rPr>
                  <m:t>s</m:t>
                </m:r>
              </m:e>
              <m:sub>
                <m:r>
                  <w:rPr>
                    <w:rFonts w:ascii="Cambria Math" w:eastAsiaTheme="minorEastAsia" w:hAnsi="Cambria Math" w:cstheme="minorHAnsi"/>
                  </w:rPr>
                  <m:t>C</m:t>
                </m:r>
              </m:sub>
              <m:sup>
                <m:r>
                  <w:rPr>
                    <w:rFonts w:ascii="Cambria Math" w:eastAsiaTheme="minorEastAsia" w:hAnsi="Cambria Math" w:cstheme="minorHAnsi"/>
                  </w:rPr>
                  <m:t>2</m:t>
                </m:r>
              </m:sup>
            </m:sSubSup>
          </m:e>
        </m:d>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A</m:t>
            </m:r>
          </m:sub>
        </m:sSub>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B</m:t>
            </m:r>
          </m:sub>
        </m:sSub>
        <m:r>
          <w:rPr>
            <w:rFonts w:ascii="Cambria Math" w:eastAsiaTheme="minorEastAsia" w:hAnsi="Cambria Math" w:cstheme="minorHAnsi"/>
          </w:rPr>
          <m:t xml:space="preserve">+ </m:t>
        </m:r>
        <m:sSub>
          <m:sSubPr>
            <m:ctrlPr>
              <w:rPr>
                <w:rFonts w:ascii="Cambria Math" w:eastAsiaTheme="minorEastAsia" w:hAnsi="Cambria Math" w:cstheme="minorHAnsi"/>
                <w:i/>
              </w:rPr>
            </m:ctrlPr>
          </m:sSubPr>
          <m:e>
            <m:r>
              <w:rPr>
                <w:rFonts w:ascii="Cambria Math" w:eastAsiaTheme="minorEastAsia" w:hAnsi="Cambria Math" w:cstheme="minorHAnsi"/>
              </w:rPr>
              <m:t>n</m:t>
            </m:r>
          </m:e>
          <m:sub>
            <m:r>
              <w:rPr>
                <w:rFonts w:ascii="Cambria Math" w:eastAsiaTheme="minorEastAsia" w:hAnsi="Cambria Math" w:cstheme="minorHAnsi"/>
              </w:rPr>
              <m:t>C</m:t>
            </m:r>
          </m:sub>
        </m:sSub>
        <m:r>
          <w:rPr>
            <w:rFonts w:ascii="Cambria Math" w:eastAsiaTheme="minorEastAsia" w:hAnsi="Cambria Math" w:cstheme="minorHAnsi"/>
          </w:rPr>
          <m:t>-3)</m:t>
        </m:r>
      </m:oMath>
      <w:r w:rsidRPr="00D45713">
        <w:rPr>
          <w:rFonts w:asciiTheme="minorHAnsi" w:eastAsiaTheme="minorEastAsia" w:hAnsiTheme="minorHAnsi" w:cstheme="minorHAnsi"/>
        </w:rPr>
        <w:t xml:space="preserve">,  where the degrees of freedom is given by where the degrees of freedom is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A</w:t>
      </w:r>
      <w:r w:rsidRPr="00D45713">
        <w:rPr>
          <w:rFonts w:asciiTheme="minorHAnsi" w:eastAsiaTheme="minorEastAsia" w:hAnsiTheme="minorHAnsi" w:cstheme="minorHAnsi"/>
          <w:i/>
        </w:rPr>
        <w:t xml:space="preserve"> </w:t>
      </w:r>
      <w:r w:rsidRPr="00D45713">
        <w:rPr>
          <w:rFonts w:asciiTheme="minorHAnsi" w:eastAsiaTheme="minorEastAsia" w:hAnsiTheme="minorHAnsi" w:cstheme="minorHAnsi"/>
        </w:rPr>
        <w:t xml:space="preserve">+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B</w:t>
      </w:r>
      <w:r w:rsidRPr="00D45713">
        <w:rPr>
          <w:rFonts w:asciiTheme="minorHAnsi" w:eastAsiaTheme="minorEastAsia" w:hAnsiTheme="minorHAnsi" w:cstheme="minorHAnsi"/>
        </w:rPr>
        <w:t xml:space="preserve"> +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 xml:space="preserve">C </w:t>
      </w:r>
      <w:r w:rsidRPr="00D45713">
        <w:rPr>
          <w:rFonts w:asciiTheme="minorHAnsi" w:eastAsiaTheme="minorEastAsia" w:hAnsiTheme="minorHAnsi" w:cstheme="minorHAnsi"/>
        </w:rPr>
        <w:t xml:space="preserve">– 3. </w:t>
      </w:r>
    </w:p>
    <w:p w14:paraId="148B13FC" w14:textId="77777777" w:rsidR="00F03CD3" w:rsidRPr="00D45713" w:rsidRDefault="00F03CD3" w:rsidP="00F03CD3">
      <w:pPr>
        <w:jc w:val="both"/>
        <w:rPr>
          <w:rFonts w:asciiTheme="minorHAnsi" w:eastAsiaTheme="minorEastAsia" w:hAnsiTheme="minorHAnsi" w:cstheme="minorHAnsi"/>
        </w:rPr>
      </w:pPr>
    </w:p>
    <w:p w14:paraId="368A5C86"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Two-way ANOVA</w:t>
      </w:r>
    </w:p>
    <w:p w14:paraId="750C606F" w14:textId="77777777" w:rsidR="00F03CD3" w:rsidRPr="00D45713" w:rsidRDefault="00F03CD3" w:rsidP="00F03CD3">
      <w:pPr>
        <w:pStyle w:val="NoSpacing"/>
        <w:spacing w:line="276" w:lineRule="auto"/>
        <w:ind w:left="720"/>
        <w:jc w:val="both"/>
        <w:rPr>
          <w:rFonts w:asciiTheme="minorHAnsi" w:hAnsiTheme="minorHAnsi" w:cstheme="minorHAnsi"/>
        </w:rPr>
      </w:pPr>
      <w:r w:rsidRPr="00D45713">
        <w:rPr>
          <w:rFonts w:asciiTheme="minorHAnsi" w:hAnsiTheme="minorHAnsi" w:cstheme="minorHAnsi"/>
        </w:rPr>
        <w:t xml:space="preserve">ANOVA stands for analysis of variance.   For ANOVA, it is assumed that all populations have the same variances.   For a two-way ANOVA, three statistical tests are typically performed: the main effect of each factor and the interaction.    Suppose we have two factors A and B, where A represent the genotype and B represent the diet in a mouse study.   Suppose each of these factors has two levels (A:  wild type, knock out; B:  </w:t>
      </w:r>
      <w:r w:rsidRPr="00D45713">
        <w:rPr>
          <w:rFonts w:asciiTheme="minorHAnsi" w:hAnsiTheme="minorHAnsi" w:cstheme="minorHAnsi"/>
        </w:rPr>
        <w:lastRenderedPageBreak/>
        <w:t xml:space="preserve">standard diet, high fat diet).   For this example, there are 4 combinations (“treatments”):   A1B1, A1B2, A2B1, A2B2.    The overall ANOVA F-test gives the p-value for testing whether all four of these means are equal or whether at least one pair is different.   However, we are also interested in the effect of the genotype and diet.     A main effect is a contrast that tests one factor across the levels of the other factor.    Hence the A main effect compares (A1B1 + A1B2)/2 vs. (A2B1 + A2B2)/2, and the B-main effect compares (A1B1 + A2B2)/2 vs.  (A1B2 + A2B2)/2.   The interaction is a contrast that tests whether the mean difference for one factor depends on the level of the other factor, which is (A1B2 + A2B1)/2 vs. (A1B1 + A2B2)/2.     </w:t>
      </w:r>
    </w:p>
    <w:p w14:paraId="76DC87C5" w14:textId="77777777" w:rsidR="00F03CD3" w:rsidRPr="00D45713" w:rsidRDefault="00F03CD3" w:rsidP="00F03CD3">
      <w:pPr>
        <w:pStyle w:val="NoSpacing"/>
        <w:spacing w:line="276" w:lineRule="auto"/>
        <w:jc w:val="both"/>
        <w:rPr>
          <w:rFonts w:asciiTheme="minorHAnsi" w:hAnsiTheme="minorHAnsi" w:cstheme="minorHAnsi"/>
        </w:rPr>
      </w:pPr>
    </w:p>
    <w:p w14:paraId="05517DBE" w14:textId="77777777" w:rsidR="00F03CD3" w:rsidRPr="00D45713" w:rsidRDefault="00F03CD3" w:rsidP="009B7C65">
      <w:pPr>
        <w:pStyle w:val="NoSpacing"/>
        <w:spacing w:after="360" w:line="276" w:lineRule="auto"/>
        <w:ind w:left="720"/>
        <w:jc w:val="both"/>
        <w:rPr>
          <w:rFonts w:asciiTheme="minorHAnsi" w:hAnsiTheme="minorHAnsi" w:cstheme="minorHAnsi"/>
        </w:rPr>
      </w:pPr>
      <w:r w:rsidRPr="00D45713">
        <w:rPr>
          <w:rFonts w:asciiTheme="minorHAnsi" w:hAnsiTheme="minorHAnsi" w:cstheme="minorHAnsi"/>
        </w:rPr>
        <w:t>Some sample plots follow.   For the first plot, there is a B main effect, but no A main effect and no interaction, as the effect of B does not depend on the level of A.  For the second plot, notice how the mean difference for B is the same at each level of A and the difference in A is the same for each level of B, hence there is no statistical interaction.  The final plot also has main effects for A and B, but here also has an interaction:   we see the effect of B depends on the level of A (0 for A1 but 2 for A2), i.e., the effect of the diet depends on the genotype.   We also see here the interpretation of the main effects depends on whether there is an interaction or not.</w:t>
      </w:r>
    </w:p>
    <w:p w14:paraId="2251882A" w14:textId="77777777" w:rsidR="00F03CD3" w:rsidRPr="00D45713" w:rsidRDefault="00F03CD3" w:rsidP="00F03CD3">
      <w:pPr>
        <w:pStyle w:val="NoSpacing"/>
        <w:spacing w:line="276" w:lineRule="auto"/>
        <w:ind w:left="720"/>
        <w:jc w:val="center"/>
        <w:rPr>
          <w:rFonts w:asciiTheme="minorHAnsi" w:hAnsiTheme="minorHAnsi" w:cstheme="minorHAnsi"/>
        </w:rPr>
      </w:pPr>
      <w:r w:rsidRPr="00D45713">
        <w:rPr>
          <w:rFonts w:asciiTheme="minorHAnsi" w:hAnsiTheme="minorHAnsi" w:cstheme="minorHAnsi"/>
          <w:noProof/>
        </w:rPr>
        <w:drawing>
          <wp:inline distT="0" distB="0" distL="0" distR="0" wp14:anchorId="2238063F" wp14:editId="5A546099">
            <wp:extent cx="3665034" cy="3657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3665034" cy="3657600"/>
                    </a:xfrm>
                    <a:prstGeom prst="rect">
                      <a:avLst/>
                    </a:prstGeom>
                    <a:noFill/>
                    <a:ln w="9525">
                      <a:noFill/>
                      <a:miter lim="800000"/>
                      <a:headEnd/>
                      <a:tailEnd/>
                    </a:ln>
                  </pic:spPr>
                </pic:pic>
              </a:graphicData>
            </a:graphic>
          </wp:inline>
        </w:drawing>
      </w:r>
    </w:p>
    <w:p w14:paraId="2CE17831" w14:textId="77777777" w:rsidR="00F03CD3" w:rsidRPr="00D45713" w:rsidRDefault="00F03CD3" w:rsidP="00F03CD3">
      <w:pPr>
        <w:pStyle w:val="NoSpacing"/>
        <w:spacing w:line="276" w:lineRule="auto"/>
        <w:ind w:left="720"/>
        <w:jc w:val="center"/>
        <w:rPr>
          <w:rFonts w:asciiTheme="minorHAnsi" w:hAnsiTheme="minorHAnsi" w:cstheme="minorHAnsi"/>
        </w:rPr>
      </w:pPr>
      <w:r w:rsidRPr="00D45713">
        <w:rPr>
          <w:rFonts w:asciiTheme="minorHAnsi" w:hAnsiTheme="minorHAnsi" w:cstheme="minorHAnsi"/>
          <w:noProof/>
        </w:rPr>
        <w:lastRenderedPageBreak/>
        <w:drawing>
          <wp:inline distT="0" distB="0" distL="0" distR="0" wp14:anchorId="720AB2E2" wp14:editId="1F7D781F">
            <wp:extent cx="3665415"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665415" cy="3657600"/>
                    </a:xfrm>
                    <a:prstGeom prst="rect">
                      <a:avLst/>
                    </a:prstGeom>
                    <a:noFill/>
                    <a:ln w="9525">
                      <a:noFill/>
                      <a:miter lim="800000"/>
                      <a:headEnd/>
                      <a:tailEnd/>
                    </a:ln>
                  </pic:spPr>
                </pic:pic>
              </a:graphicData>
            </a:graphic>
          </wp:inline>
        </w:drawing>
      </w:r>
    </w:p>
    <w:p w14:paraId="60CCCDD6" w14:textId="77777777" w:rsidR="00F03CD3" w:rsidRPr="00D45713" w:rsidRDefault="00F03CD3" w:rsidP="00F03CD3">
      <w:pPr>
        <w:pStyle w:val="NoSpacing"/>
        <w:spacing w:line="276" w:lineRule="auto"/>
        <w:rPr>
          <w:rFonts w:asciiTheme="minorHAnsi" w:hAnsiTheme="minorHAnsi" w:cstheme="minorHAnsi"/>
        </w:rPr>
      </w:pPr>
    </w:p>
    <w:p w14:paraId="2C016302" w14:textId="77777777" w:rsidR="00F03CD3" w:rsidRPr="00D45713" w:rsidRDefault="00F03CD3" w:rsidP="000E58EF">
      <w:pPr>
        <w:ind w:firstLine="990"/>
        <w:jc w:val="center"/>
        <w:rPr>
          <w:rFonts w:asciiTheme="minorHAnsi" w:hAnsiTheme="minorHAnsi" w:cstheme="minorHAnsi"/>
        </w:rPr>
      </w:pPr>
      <w:r w:rsidRPr="00D45713">
        <w:rPr>
          <w:rFonts w:asciiTheme="minorHAnsi" w:hAnsiTheme="minorHAnsi" w:cstheme="minorHAnsi"/>
          <w:noProof/>
        </w:rPr>
        <w:drawing>
          <wp:inline distT="0" distB="0" distL="0" distR="0" wp14:anchorId="2B760605" wp14:editId="69D1AF9A">
            <wp:extent cx="3665415" cy="3657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3665415" cy="3657600"/>
                    </a:xfrm>
                    <a:prstGeom prst="rect">
                      <a:avLst/>
                    </a:prstGeom>
                    <a:noFill/>
                    <a:ln w="9525">
                      <a:noFill/>
                      <a:miter lim="800000"/>
                      <a:headEnd/>
                      <a:tailEnd/>
                    </a:ln>
                  </pic:spPr>
                </pic:pic>
              </a:graphicData>
            </a:graphic>
          </wp:inline>
        </w:drawing>
      </w:r>
    </w:p>
    <w:p w14:paraId="4C401C84" w14:textId="77777777" w:rsidR="00F03CD3" w:rsidRPr="00D45713" w:rsidRDefault="00F03CD3" w:rsidP="000E58EF">
      <w:pPr>
        <w:pStyle w:val="ListParagraph"/>
        <w:pageBreakBefore/>
        <w:numPr>
          <w:ilvl w:val="0"/>
          <w:numId w:val="28"/>
        </w:numPr>
        <w:spacing w:after="200" w:line="276" w:lineRule="auto"/>
        <w:rPr>
          <w:rFonts w:asciiTheme="minorHAnsi" w:hAnsiTheme="minorHAnsi" w:cstheme="minorHAnsi"/>
          <w:b/>
        </w:rPr>
      </w:pPr>
      <w:r w:rsidRPr="00D45713">
        <w:rPr>
          <w:rFonts w:asciiTheme="minorHAnsi" w:hAnsiTheme="minorHAnsi" w:cstheme="minorHAnsi"/>
          <w:b/>
        </w:rPr>
        <w:lastRenderedPageBreak/>
        <w:t>Two-way Repeated Measures ANOVA</w:t>
      </w:r>
    </w:p>
    <w:p w14:paraId="5292D728"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This is typically an ANOVA where one factor is applied to each subject and the second factor is a time point.   See two-way ANOVA as many of the details are similar except that the model takes into account the repeated measures, i.e., the treatments are given to the same subject over time. The two main effects and the interaction are assessed, with particular interest to the interaction, as this shows where the time profiles are parallel or not for the treatments (parallel mean no interaction).   </w:t>
      </w:r>
    </w:p>
    <w:p w14:paraId="66550640" w14:textId="77777777" w:rsidR="00F03CD3" w:rsidRPr="00D45713" w:rsidRDefault="00F03CD3" w:rsidP="00F03CD3">
      <w:pPr>
        <w:pStyle w:val="ListParagraph"/>
        <w:jc w:val="both"/>
        <w:rPr>
          <w:rFonts w:asciiTheme="minorHAnsi" w:hAnsiTheme="minorHAnsi" w:cstheme="minorHAnsi"/>
        </w:rPr>
      </w:pPr>
    </w:p>
    <w:p w14:paraId="66DDB497"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One additional note, the standard analysis assumes a condition referred to as compound symmetry, which assumes the correlation between each pair of levels of the repeated-measures factor is the same.   Thus, for the case of time, it assumes the correlation is the same between time points 1 and 2, 1 and 3, and 2 and 3.</w:t>
      </w:r>
    </w:p>
    <w:p w14:paraId="626601E9" w14:textId="77777777" w:rsidR="00F03CD3" w:rsidRPr="00D45713" w:rsidRDefault="00F03CD3" w:rsidP="00F03CD3">
      <w:pPr>
        <w:pStyle w:val="ListParagraph"/>
        <w:jc w:val="both"/>
        <w:rPr>
          <w:rFonts w:asciiTheme="minorHAnsi" w:hAnsiTheme="minorHAnsi" w:cstheme="minorHAnsi"/>
        </w:rPr>
      </w:pPr>
    </w:p>
    <w:p w14:paraId="7E64278D"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Correlation</w:t>
      </w:r>
    </w:p>
    <w:p w14:paraId="634E393E"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Correlation measures the strength and direction of a </w:t>
      </w:r>
      <w:r w:rsidRPr="00D45713">
        <w:rPr>
          <w:rFonts w:asciiTheme="minorHAnsi" w:hAnsiTheme="minorHAnsi" w:cstheme="minorHAnsi"/>
          <w:i/>
        </w:rPr>
        <w:t>linear</w:t>
      </w:r>
      <w:r w:rsidRPr="00D45713">
        <w:rPr>
          <w:rFonts w:asciiTheme="minorHAnsi" w:hAnsiTheme="minorHAnsi" w:cstheme="minorHAnsi"/>
        </w:rPr>
        <w:t xml:space="preserve"> association between two variables.  The statistical test for correlation tests whether the true correlation is zero or not.</w:t>
      </w:r>
    </w:p>
    <w:p w14:paraId="4AF6E474" w14:textId="77777777" w:rsidR="00F03CD3" w:rsidRPr="00D45713" w:rsidRDefault="00F03CD3" w:rsidP="00F03CD3">
      <w:pPr>
        <w:pStyle w:val="ListParagraph"/>
        <w:jc w:val="both"/>
        <w:rPr>
          <w:rFonts w:asciiTheme="minorHAnsi" w:hAnsiTheme="minorHAnsi" w:cstheme="minorHAnsi"/>
        </w:rPr>
      </w:pPr>
    </w:p>
    <w:p w14:paraId="7CA70350"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The square of the correlation is the percentage of the total variation explained by a linear relationship between the two variables.   Thus, with large sample sizes there may be a sample correlation of 0.1 that is statistically significant.   This means we have high confidence that the true correlation is zero, however, only 100*(0.1*0.1)% = 1% of the variation of one variable is explained by a linear relationship with the other variable, so while there is an association, it has little predictive ability.</w:t>
      </w:r>
    </w:p>
    <w:p w14:paraId="2E3717B7" w14:textId="77777777" w:rsidR="00F03CD3" w:rsidRPr="00D45713" w:rsidRDefault="00F03CD3" w:rsidP="00F03CD3">
      <w:pPr>
        <w:jc w:val="both"/>
        <w:rPr>
          <w:rFonts w:asciiTheme="minorHAnsi" w:hAnsiTheme="minorHAnsi" w:cstheme="minorHAnsi"/>
        </w:rPr>
      </w:pPr>
    </w:p>
    <w:p w14:paraId="12958081"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Hotelling’s T</w:t>
      </w:r>
      <w:r w:rsidRPr="00D45713">
        <w:rPr>
          <w:rFonts w:asciiTheme="minorHAnsi" w:hAnsiTheme="minorHAnsi" w:cstheme="minorHAnsi"/>
          <w:b/>
          <w:vertAlign w:val="superscript"/>
        </w:rPr>
        <w:t>2</w:t>
      </w:r>
      <w:r w:rsidRPr="00D45713">
        <w:rPr>
          <w:rFonts w:asciiTheme="minorHAnsi" w:hAnsiTheme="minorHAnsi" w:cstheme="minorHAnsi"/>
          <w:b/>
        </w:rPr>
        <w:t xml:space="preserve"> test</w:t>
      </w:r>
    </w:p>
    <w:p w14:paraId="0C6F911C"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The Hotelling’s T</w:t>
      </w:r>
      <w:r w:rsidRPr="00D45713">
        <w:rPr>
          <w:rFonts w:asciiTheme="minorHAnsi" w:hAnsiTheme="minorHAnsi" w:cstheme="minorHAnsi"/>
          <w:vertAlign w:val="superscript"/>
        </w:rPr>
        <w:t>2</w:t>
      </w:r>
      <w:r w:rsidRPr="00D45713">
        <w:rPr>
          <w:rFonts w:asciiTheme="minorHAnsi" w:hAnsiTheme="minorHAnsi" w:cstheme="minorHAnsi"/>
        </w:rPr>
        <w:t xml:space="preserve"> test is a multivariate generalization of the </w:t>
      </w:r>
      <w:r w:rsidRPr="00D45713">
        <w:rPr>
          <w:rFonts w:asciiTheme="minorHAnsi" w:hAnsiTheme="minorHAnsi" w:cstheme="minorHAnsi"/>
          <w:i/>
        </w:rPr>
        <w:t>t</w:t>
      </w:r>
      <w:r w:rsidRPr="00D45713">
        <w:rPr>
          <w:rFonts w:asciiTheme="minorHAnsi" w:hAnsiTheme="minorHAnsi" w:cstheme="minorHAnsi"/>
        </w:rPr>
        <w:t>-test, but here we are testing whether the mean vectors are different or not (the vector consists of multiple metabolites).</w:t>
      </w:r>
    </w:p>
    <w:p w14:paraId="2F1E9426" w14:textId="77777777" w:rsidR="00F03CD3" w:rsidRPr="00D45713" w:rsidRDefault="00F03CD3" w:rsidP="00F03CD3">
      <w:pPr>
        <w:pStyle w:val="ListParagraph"/>
        <w:jc w:val="both"/>
        <w:rPr>
          <w:rFonts w:asciiTheme="minorHAnsi" w:hAnsiTheme="minorHAnsi" w:cstheme="minorHAnsi"/>
        </w:rPr>
      </w:pPr>
    </w:p>
    <w:p w14:paraId="43263964"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Hotelling statistic is: </w:t>
      </w:r>
      <m:oMath>
        <m:sSup>
          <m:sSupPr>
            <m:ctrlPr>
              <w:rPr>
                <w:rFonts w:ascii="Cambria Math" w:hAnsi="Cambria Math" w:cstheme="minorHAnsi"/>
                <w:i/>
              </w:rPr>
            </m:ctrlPr>
          </m:sSupPr>
          <m:e>
            <m:r>
              <w:rPr>
                <w:rFonts w:ascii="Cambria Math" w:hAnsi="Cambria Math" w:cstheme="minorHAnsi"/>
              </w:rPr>
              <m:t>t</m:t>
            </m:r>
          </m:e>
          <m:sup>
            <m:r>
              <w:rPr>
                <w:rFonts w:ascii="Cambria Math" w:hAnsi="Cambria Math" w:cstheme="minorHAnsi"/>
              </w:rPr>
              <m:t>2</m:t>
            </m:r>
          </m:sup>
        </m:sSup>
        <m:r>
          <w:rPr>
            <w:rFonts w:ascii="Cambria Math" w:hAnsi="Cambria Math" w:cstheme="minorHAnsi"/>
          </w:rPr>
          <m:t xml:space="preserve"> =</m:t>
        </m:r>
        <m:d>
          <m:dPr>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x</m:t>
                    </m:r>
                  </m:sub>
                </m:sSub>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y</m:t>
                    </m:r>
                  </m:sub>
                </m:sSub>
              </m:num>
              <m:den>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y</m:t>
                    </m:r>
                  </m:sub>
                </m:sSub>
              </m:den>
            </m:f>
          </m:e>
        </m:d>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acc>
                  <m:accPr>
                    <m:chr m:val="̅"/>
                    <m:ctrlPr>
                      <w:rPr>
                        <w:rFonts w:ascii="Cambria Math" w:hAnsi="Cambria Math" w:cstheme="minorHAnsi"/>
                        <w:i/>
                      </w:rPr>
                    </m:ctrlPr>
                  </m:accPr>
                  <m:e>
                    <m:r>
                      <m:rPr>
                        <m:sty m:val="bi"/>
                      </m:rPr>
                      <w:rPr>
                        <w:rFonts w:ascii="Cambria Math" w:hAnsi="Cambria Math" w:cstheme="minorHAnsi"/>
                      </w:rPr>
                      <m:t>x</m:t>
                    </m:r>
                  </m:e>
                </m:acc>
                <m:r>
                  <w:rPr>
                    <w:rFonts w:ascii="Cambria Math" w:hAnsi="Cambria Math" w:cstheme="minorHAnsi"/>
                  </w:rPr>
                  <m:t>-</m:t>
                </m:r>
                <m:acc>
                  <m:accPr>
                    <m:chr m:val="̅"/>
                    <m:ctrlPr>
                      <w:rPr>
                        <w:rFonts w:ascii="Cambria Math" w:hAnsi="Cambria Math" w:cstheme="minorHAnsi"/>
                        <w:i/>
                      </w:rPr>
                    </m:ctrlPr>
                  </m:accPr>
                  <m:e>
                    <m:r>
                      <m:rPr>
                        <m:sty m:val="bi"/>
                      </m:rPr>
                      <w:rPr>
                        <w:rFonts w:ascii="Cambria Math" w:hAnsi="Cambria Math" w:cstheme="minorHAnsi"/>
                      </w:rPr>
                      <m:t>y</m:t>
                    </m:r>
                  </m:e>
                </m:acc>
              </m:e>
            </m:d>
          </m:e>
          <m:sup>
            <m:r>
              <w:rPr>
                <w:rFonts w:ascii="Cambria Math" w:hAnsi="Cambria Math" w:cstheme="minorHAnsi"/>
              </w:rPr>
              <m:t>T</m:t>
            </m:r>
          </m:sup>
        </m:sSup>
        <m:r>
          <w:rPr>
            <w:rFonts w:ascii="Cambria Math" w:hAnsi="Cambria Math" w:cstheme="minorHAnsi"/>
          </w:rPr>
          <m:t xml:space="preserve"> </m:t>
        </m:r>
        <m:sSup>
          <m:sSupPr>
            <m:ctrlPr>
              <w:rPr>
                <w:rFonts w:ascii="Cambria Math" w:hAnsi="Cambria Math" w:cstheme="minorHAnsi"/>
                <w:i/>
              </w:rPr>
            </m:ctrlPr>
          </m:sSupPr>
          <m:e>
            <m:r>
              <m:rPr>
                <m:sty m:val="bi"/>
              </m:rPr>
              <w:rPr>
                <w:rFonts w:ascii="Cambria Math" w:hAnsi="Cambria Math" w:cstheme="minorHAnsi"/>
              </w:rPr>
              <m:t>S</m:t>
            </m:r>
          </m:e>
          <m:sup>
            <m:r>
              <w:rPr>
                <w:rFonts w:ascii="Cambria Math" w:hAnsi="Cambria Math" w:cstheme="minorHAnsi"/>
              </w:rPr>
              <m:t>-1</m:t>
            </m:r>
          </m:sup>
        </m:sSup>
        <m:r>
          <w:rPr>
            <w:rFonts w:ascii="Cambria Math" w:hAnsi="Cambria Math" w:cstheme="minorHAnsi"/>
          </w:rPr>
          <m:t xml:space="preserve"> (</m:t>
        </m:r>
        <m:acc>
          <m:accPr>
            <m:chr m:val="̅"/>
            <m:ctrlPr>
              <w:rPr>
                <w:rFonts w:ascii="Cambria Math" w:hAnsi="Cambria Math" w:cstheme="minorHAnsi"/>
                <w:i/>
              </w:rPr>
            </m:ctrlPr>
          </m:accPr>
          <m:e>
            <m:r>
              <m:rPr>
                <m:sty m:val="bi"/>
              </m:rPr>
              <w:rPr>
                <w:rFonts w:ascii="Cambria Math" w:hAnsi="Cambria Math" w:cstheme="minorHAnsi"/>
              </w:rPr>
              <m:t>x</m:t>
            </m:r>
          </m:e>
        </m:acc>
        <m:r>
          <w:rPr>
            <w:rFonts w:ascii="Cambria Math" w:hAnsi="Cambria Math" w:cstheme="minorHAnsi"/>
          </w:rPr>
          <m:t xml:space="preserve"> –</m:t>
        </m:r>
        <m:acc>
          <m:accPr>
            <m:chr m:val="̅"/>
            <m:ctrlPr>
              <w:rPr>
                <w:rFonts w:ascii="Cambria Math" w:hAnsi="Cambria Math" w:cstheme="minorHAnsi"/>
                <w:i/>
              </w:rPr>
            </m:ctrlPr>
          </m:accPr>
          <m:e>
            <m:r>
              <m:rPr>
                <m:sty m:val="bi"/>
              </m:rPr>
              <w:rPr>
                <w:rFonts w:ascii="Cambria Math" w:hAnsi="Cambria Math" w:cstheme="minorHAnsi"/>
              </w:rPr>
              <m:t>y</m:t>
            </m:r>
          </m:e>
        </m:acc>
        <m:r>
          <w:rPr>
            <w:rFonts w:ascii="Cambria Math" w:hAnsi="Cambria Math" w:cstheme="minorHAnsi"/>
          </w:rPr>
          <m:t>)</m:t>
        </m:r>
      </m:oMath>
      <w:r w:rsidRPr="00D45713">
        <w:rPr>
          <w:rFonts w:asciiTheme="minorHAnsi" w:eastAsiaTheme="minorEastAsia" w:hAnsiTheme="minorHAnsi" w:cstheme="minorHAnsi"/>
        </w:rPr>
        <w:t xml:space="preserve">, where </w:t>
      </w:r>
      <w:r w:rsidRPr="00D45713">
        <w:rPr>
          <w:rFonts w:asciiTheme="minorHAnsi" w:eastAsiaTheme="minorEastAsia" w:hAnsiTheme="minorHAnsi" w:cstheme="minorHAnsi"/>
          <w:i/>
        </w:rPr>
        <w:t>n</w:t>
      </w:r>
      <w:r w:rsidRPr="00D45713">
        <w:rPr>
          <w:rFonts w:asciiTheme="minorHAnsi" w:eastAsiaTheme="minorEastAsia" w:hAnsiTheme="minorHAnsi" w:cstheme="minorHAnsi"/>
          <w:i/>
          <w:vertAlign w:val="subscript"/>
        </w:rPr>
        <w:t>x</w:t>
      </w:r>
      <w:r w:rsidRPr="00D45713">
        <w:rPr>
          <w:rFonts w:asciiTheme="minorHAnsi" w:eastAsiaTheme="minorEastAsia" w:hAnsiTheme="minorHAnsi" w:cstheme="minorHAnsi"/>
          <w:i/>
        </w:rPr>
        <w:t xml:space="preserve"> </w:t>
      </w:r>
      <w:r w:rsidRPr="00D45713">
        <w:rPr>
          <w:rFonts w:asciiTheme="minorHAnsi" w:eastAsiaTheme="minorEastAsia" w:hAnsiTheme="minorHAnsi" w:cstheme="minorHAnsi"/>
        </w:rPr>
        <w:t xml:space="preserve">and </w:t>
      </w:r>
      <w:r w:rsidRPr="00D45713">
        <w:rPr>
          <w:rFonts w:asciiTheme="minorHAnsi" w:eastAsiaTheme="minorEastAsia" w:hAnsiTheme="minorHAnsi" w:cstheme="minorHAnsi"/>
          <w:i/>
        </w:rPr>
        <w:t>n</w:t>
      </w:r>
      <w:r w:rsidRPr="00D45713">
        <w:rPr>
          <w:rFonts w:asciiTheme="minorHAnsi" w:eastAsiaTheme="minorEastAsia" w:hAnsiTheme="minorHAnsi" w:cstheme="minorHAnsi"/>
          <w:vertAlign w:val="subscript"/>
        </w:rPr>
        <w:t>y</w:t>
      </w:r>
      <w:r w:rsidRPr="00D45713">
        <w:rPr>
          <w:rFonts w:asciiTheme="minorHAnsi" w:eastAsiaTheme="minorEastAsia" w:hAnsiTheme="minorHAnsi" w:cstheme="minorHAnsi"/>
        </w:rPr>
        <w:t xml:space="preserve"> are the numbers of samples in each group,</w:t>
      </w:r>
      <m:oMath>
        <m:r>
          <w:rPr>
            <w:rFonts w:ascii="Cambria Math" w:hAnsi="Cambria Math" w:cstheme="minorHAnsi"/>
          </w:rPr>
          <m:t xml:space="preserve"> </m:t>
        </m:r>
        <m:acc>
          <m:accPr>
            <m:chr m:val="̅"/>
            <m:ctrlPr>
              <w:rPr>
                <w:rFonts w:ascii="Cambria Math" w:hAnsi="Cambria Math" w:cstheme="minorHAnsi"/>
                <w:i/>
              </w:rPr>
            </m:ctrlPr>
          </m:accPr>
          <m:e>
            <m:r>
              <m:rPr>
                <m:sty m:val="bi"/>
              </m:rPr>
              <w:rPr>
                <w:rFonts w:ascii="Cambria Math" w:hAnsi="Cambria Math" w:cstheme="minorHAnsi"/>
              </w:rPr>
              <m:t>x</m:t>
            </m:r>
          </m:e>
        </m:acc>
      </m:oMath>
      <w:r w:rsidRPr="00D45713">
        <w:rPr>
          <w:rFonts w:asciiTheme="minorHAnsi" w:eastAsiaTheme="minorEastAsia" w:hAnsiTheme="minorHAnsi" w:cstheme="minorHAnsi"/>
        </w:rPr>
        <w:t xml:space="preserve">  is the mean vector of the variables from group 1,  </w:t>
      </w:r>
      <m:oMath>
        <m:acc>
          <m:accPr>
            <m:chr m:val="̅"/>
            <m:ctrlPr>
              <w:rPr>
                <w:rFonts w:ascii="Cambria Math" w:hAnsi="Cambria Math" w:cstheme="minorHAnsi"/>
                <w:i/>
              </w:rPr>
            </m:ctrlPr>
          </m:accPr>
          <m:e>
            <m:r>
              <m:rPr>
                <m:sty m:val="bi"/>
              </m:rPr>
              <w:rPr>
                <w:rFonts w:ascii="Cambria Math" w:hAnsi="Cambria Math" w:cstheme="minorHAnsi"/>
              </w:rPr>
              <m:t>y</m:t>
            </m:r>
          </m:e>
        </m:acc>
      </m:oMath>
      <w:r w:rsidRPr="00D45713">
        <w:rPr>
          <w:rFonts w:asciiTheme="minorHAnsi" w:eastAsiaTheme="minorEastAsia" w:hAnsiTheme="minorHAnsi" w:cstheme="minorHAnsi"/>
        </w:rPr>
        <w:t xml:space="preserve">  is the mean vector of variables from group 2 and </w:t>
      </w:r>
      <w:r w:rsidRPr="00D45713">
        <w:rPr>
          <w:rFonts w:asciiTheme="minorHAnsi" w:eastAsiaTheme="minorEastAsia" w:hAnsiTheme="minorHAnsi" w:cstheme="minorHAnsi"/>
          <w:b/>
        </w:rPr>
        <w:t>S</w:t>
      </w:r>
      <w:r w:rsidRPr="00D45713">
        <w:rPr>
          <w:rFonts w:asciiTheme="minorHAnsi" w:eastAsiaTheme="minorEastAsia" w:hAnsiTheme="minorHAnsi" w:cstheme="minorHAnsi"/>
        </w:rPr>
        <w:t xml:space="preserve"> is the pooled estimate of the variance-covariance matrix of the variables.   This analysis assumes the underlying variance-covariance matrix is the same for each group.    Notice that in the case of uncorrelated variables, this is simply a weighted average of the squared mean differences with weights inversely proportional to the sample variances (i.e., the metabolites less variable within a group are given higher weights).</w:t>
      </w:r>
    </w:p>
    <w:p w14:paraId="2C748506" w14:textId="77777777" w:rsidR="00F03CD3" w:rsidRPr="00D45713" w:rsidRDefault="00F03CD3" w:rsidP="00F03CD3">
      <w:pPr>
        <w:pStyle w:val="ListParagraph"/>
        <w:jc w:val="both"/>
        <w:rPr>
          <w:rFonts w:asciiTheme="minorHAnsi" w:hAnsiTheme="minorHAnsi" w:cstheme="minorHAnsi"/>
        </w:rPr>
      </w:pPr>
    </w:p>
    <w:p w14:paraId="0D200CE7" w14:textId="77777777" w:rsidR="00F03CD3" w:rsidRPr="00D45713" w:rsidRDefault="002604E6" w:rsidP="00E53748">
      <w:pPr>
        <w:pStyle w:val="ListParagraph"/>
        <w:pageBreakBefore/>
        <w:numPr>
          <w:ilvl w:val="0"/>
          <w:numId w:val="28"/>
        </w:numPr>
        <w:spacing w:after="200" w:line="276" w:lineRule="auto"/>
        <w:jc w:val="both"/>
        <w:rPr>
          <w:rFonts w:asciiTheme="minorHAnsi" w:hAnsiTheme="minorHAnsi" w:cstheme="minorHAnsi"/>
          <w:b/>
        </w:rPr>
      </w:pPr>
      <w:r>
        <w:rPr>
          <w:rFonts w:asciiTheme="minorHAnsi" w:hAnsiTheme="minorHAnsi" w:cstheme="minorHAnsi"/>
          <w:b/>
        </w:rPr>
        <w:lastRenderedPageBreak/>
        <w:t>p-</w:t>
      </w:r>
      <w:r w:rsidR="00F03CD3" w:rsidRPr="00D45713">
        <w:rPr>
          <w:rFonts w:asciiTheme="minorHAnsi" w:hAnsiTheme="minorHAnsi" w:cstheme="minorHAnsi"/>
          <w:b/>
        </w:rPr>
        <w:t>values</w:t>
      </w:r>
    </w:p>
    <w:p w14:paraId="219BA59A" w14:textId="77777777" w:rsidR="00F03CD3" w:rsidRPr="00D45713" w:rsidRDefault="00F03CD3" w:rsidP="00111C42">
      <w:pPr>
        <w:pStyle w:val="ListParagraph"/>
        <w:spacing w:after="120"/>
        <w:jc w:val="both"/>
        <w:rPr>
          <w:rFonts w:asciiTheme="minorHAnsi" w:hAnsiTheme="minorHAnsi" w:cstheme="minorHAnsi"/>
        </w:rPr>
      </w:pPr>
      <w:r w:rsidRPr="00D45713">
        <w:rPr>
          <w:rFonts w:asciiTheme="minorHAnsi" w:hAnsiTheme="minorHAnsi" w:cstheme="minorHAnsi"/>
        </w:rPr>
        <w:t>For statistical significance testing, p-values are given.   The lower the p-value, the more evidence we have that the null hypothesis (typically that two population means are equal) is not true.   If “statistical significance” is declared for p-values less than 0.05, then 5% of the time we incorrectly conclude the means are different, when actually they are the same.</w:t>
      </w:r>
    </w:p>
    <w:p w14:paraId="6B2CDAD0" w14:textId="77777777" w:rsidR="00F03CD3" w:rsidRPr="00D45713" w:rsidRDefault="00F03CD3" w:rsidP="00F03CD3">
      <w:pPr>
        <w:ind w:left="720"/>
        <w:jc w:val="both"/>
        <w:rPr>
          <w:rFonts w:asciiTheme="minorHAnsi" w:hAnsiTheme="minorHAnsi" w:cstheme="minorHAnsi"/>
        </w:rPr>
      </w:pPr>
      <w:r w:rsidRPr="00D45713">
        <w:rPr>
          <w:rFonts w:asciiTheme="minorHAnsi" w:hAnsiTheme="minorHAnsi" w:cstheme="minorHAnsi"/>
        </w:rPr>
        <w:t>The p-value is the probability that the test statistic is at least as extreme as observed in this experiment given that the null hypothesis is true.  Hence, the more extreme the statistic, the lower the p-value and the more evidence the data gives against the null hypothesis.</w:t>
      </w:r>
    </w:p>
    <w:p w14:paraId="32D33D8C" w14:textId="77777777" w:rsidR="00F03CD3" w:rsidRPr="00D45713" w:rsidRDefault="00F03CD3" w:rsidP="00F03CD3">
      <w:pPr>
        <w:jc w:val="both"/>
        <w:rPr>
          <w:rFonts w:asciiTheme="minorHAnsi" w:hAnsiTheme="minorHAnsi" w:cstheme="minorHAnsi"/>
        </w:rPr>
      </w:pPr>
    </w:p>
    <w:p w14:paraId="6CECF18F"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q-values</w:t>
      </w:r>
    </w:p>
    <w:p w14:paraId="58FBE2A6"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level of 0.05 is the false positive rate when there is one test.  However, for a large number of tests we need to account for false positives. There are different methods to correct for multiple testing.  The oldest methods are family-wise error rate adjustments (Bonferroni, Tukey, etc.), but these tend to be extremely conservative for a very large number of tests.  With gene arrays, using the False Discovery Rate (FDR) is more common.  The family-wise error rate adjustments give one a high degree of confidence that there are zero false discoveries.  However, with FDR methods, one can allow for a small number of false discoveries.  The FDR for a given set of compounds can be estimated using the q-value (see Storey J and Tibshirani R. (2003) Statistical significance for genomewide studies. Proc. Natl. Acad. Sci. USA 100: 9440-9445; PMID: 12883005).   </w:t>
      </w:r>
    </w:p>
    <w:p w14:paraId="5232E321" w14:textId="77777777" w:rsidR="00F03CD3" w:rsidRPr="00D45713" w:rsidRDefault="00F03CD3" w:rsidP="00F03CD3">
      <w:pPr>
        <w:pStyle w:val="ListParagraph"/>
        <w:jc w:val="both"/>
        <w:rPr>
          <w:rFonts w:asciiTheme="minorHAnsi" w:hAnsiTheme="minorHAnsi" w:cstheme="minorHAnsi"/>
        </w:rPr>
      </w:pPr>
    </w:p>
    <w:p w14:paraId="05404741"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In order to interpret the q-value, the data must first be sorted by the p-value then choose the cutoff for significance (typically p&lt;0.05).  The q-value gives the false discovery rate for the selected list (i.e., an estimate of the proportion of false discoveries for the list of compounds whose p-value is below the cutoff for significance).  For Table 1 below, if the whole list is declared significant, then the false discovery rate is approximately 10%.  If everything from Compound 079 and above is declared significant, then the false discovery rate is approximately 2.5%.  </w:t>
      </w:r>
    </w:p>
    <w:p w14:paraId="0DFA2910" w14:textId="77777777" w:rsidR="00F03CD3" w:rsidRPr="00D45713" w:rsidRDefault="00F03CD3" w:rsidP="00F03CD3">
      <w:pPr>
        <w:ind w:firstLine="720"/>
        <w:jc w:val="both"/>
        <w:rPr>
          <w:rFonts w:asciiTheme="minorHAnsi" w:hAnsiTheme="minorHAnsi" w:cstheme="minorHAnsi"/>
        </w:rPr>
      </w:pPr>
      <w:r w:rsidRPr="00D45713">
        <w:rPr>
          <w:rFonts w:asciiTheme="minorHAnsi" w:hAnsiTheme="minorHAnsi" w:cstheme="minorHAnsi"/>
        </w:rPr>
        <w:t>Table 1: Example of q-value interpretation</w:t>
      </w:r>
    </w:p>
    <w:p w14:paraId="5105F0E0" w14:textId="77777777" w:rsidR="00F03CD3" w:rsidRPr="00D45713" w:rsidRDefault="00F03CD3" w:rsidP="00F03CD3">
      <w:pPr>
        <w:jc w:val="both"/>
        <w:rPr>
          <w:rFonts w:asciiTheme="minorHAnsi" w:hAnsiTheme="minorHAnsi" w:cstheme="minorHAnsi"/>
        </w:rPr>
      </w:pPr>
      <w:r w:rsidRPr="00D45713">
        <w:rPr>
          <w:rFonts w:asciiTheme="minorHAnsi" w:hAnsiTheme="minorHAnsi" w:cstheme="minorHAnsi"/>
          <w:noProof/>
        </w:rPr>
        <w:drawing>
          <wp:anchor distT="0" distB="0" distL="114300" distR="114300" simplePos="0" relativeHeight="251665408" behindDoc="0" locked="0" layoutInCell="1" allowOverlap="1" wp14:anchorId="2C4A9338" wp14:editId="43FE90E1">
            <wp:simplePos x="0" y="0"/>
            <wp:positionH relativeFrom="column">
              <wp:posOffset>1863753</wp:posOffset>
            </wp:positionH>
            <wp:positionV relativeFrom="paragraph">
              <wp:posOffset>84014</wp:posOffset>
            </wp:positionV>
            <wp:extent cx="2215266" cy="1311965"/>
            <wp:effectExtent l="19050" t="0" r="0" b="0"/>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2215266" cy="1311965"/>
                    </a:xfrm>
                    <a:prstGeom prst="rect">
                      <a:avLst/>
                    </a:prstGeom>
                    <a:noFill/>
                    <a:ln w="9525">
                      <a:noFill/>
                      <a:miter lim="800000"/>
                      <a:headEnd/>
                      <a:tailEnd/>
                    </a:ln>
                  </pic:spPr>
                </pic:pic>
              </a:graphicData>
            </a:graphic>
          </wp:anchor>
        </w:drawing>
      </w:r>
    </w:p>
    <w:p w14:paraId="6BF6A5B4" w14:textId="77777777" w:rsidR="00F03CD3" w:rsidRPr="00D45713" w:rsidRDefault="00F03CD3" w:rsidP="00F03CD3">
      <w:pPr>
        <w:jc w:val="both"/>
        <w:rPr>
          <w:rFonts w:asciiTheme="minorHAnsi" w:hAnsiTheme="minorHAnsi" w:cstheme="minorHAnsi"/>
        </w:rPr>
      </w:pPr>
    </w:p>
    <w:p w14:paraId="703FCC8B" w14:textId="77777777" w:rsidR="00F03CD3" w:rsidRPr="00D45713" w:rsidRDefault="00F03CD3" w:rsidP="00F03CD3">
      <w:pPr>
        <w:jc w:val="both"/>
        <w:rPr>
          <w:rFonts w:asciiTheme="minorHAnsi" w:hAnsiTheme="minorHAnsi" w:cstheme="minorHAnsi"/>
        </w:rPr>
      </w:pPr>
    </w:p>
    <w:p w14:paraId="5A96EEE6" w14:textId="77777777" w:rsidR="00F03CD3" w:rsidRPr="00D45713" w:rsidRDefault="00F03CD3" w:rsidP="00F03CD3">
      <w:pPr>
        <w:jc w:val="both"/>
        <w:rPr>
          <w:rFonts w:asciiTheme="minorHAnsi" w:hAnsiTheme="minorHAnsi" w:cstheme="minorHAnsi"/>
        </w:rPr>
      </w:pPr>
    </w:p>
    <w:p w14:paraId="6B57D7E0" w14:textId="77777777" w:rsidR="00F03CD3" w:rsidRPr="00D45713" w:rsidRDefault="00F03CD3" w:rsidP="00F03CD3">
      <w:pPr>
        <w:jc w:val="both"/>
        <w:rPr>
          <w:rFonts w:asciiTheme="minorHAnsi" w:hAnsiTheme="minorHAnsi" w:cstheme="minorHAnsi"/>
        </w:rPr>
      </w:pPr>
    </w:p>
    <w:p w14:paraId="2401A2EA" w14:textId="77777777" w:rsidR="00F03CD3" w:rsidRPr="00D45713" w:rsidRDefault="00F03CD3" w:rsidP="00F03CD3">
      <w:pPr>
        <w:jc w:val="both"/>
        <w:rPr>
          <w:rFonts w:asciiTheme="minorHAnsi" w:hAnsiTheme="minorHAnsi" w:cstheme="minorHAnsi"/>
        </w:rPr>
      </w:pPr>
    </w:p>
    <w:p w14:paraId="6DD3AC45" w14:textId="77777777" w:rsidR="00F03CD3" w:rsidRPr="00D45713" w:rsidRDefault="00F03CD3" w:rsidP="00F03CD3">
      <w:pPr>
        <w:spacing w:after="200" w:line="276" w:lineRule="auto"/>
        <w:jc w:val="both"/>
        <w:rPr>
          <w:rFonts w:asciiTheme="minorHAnsi" w:hAnsiTheme="minorHAnsi" w:cstheme="minorHAnsi"/>
          <w:b/>
        </w:rPr>
      </w:pPr>
    </w:p>
    <w:p w14:paraId="6C84B4EC" w14:textId="77777777" w:rsidR="00F03CD3" w:rsidRPr="00D45713" w:rsidRDefault="00F03CD3" w:rsidP="005A7C89">
      <w:pPr>
        <w:pStyle w:val="ListParagraph"/>
        <w:keepNext/>
        <w:keepLines/>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lastRenderedPageBreak/>
        <w:t>Random Forest</w:t>
      </w:r>
    </w:p>
    <w:p w14:paraId="3A1DA444" w14:textId="77777777" w:rsidR="00F03CD3" w:rsidRPr="00D45713" w:rsidRDefault="00F03CD3" w:rsidP="005A7C89">
      <w:pPr>
        <w:pStyle w:val="ListParagraph"/>
        <w:keepLines/>
        <w:jc w:val="both"/>
        <w:rPr>
          <w:rFonts w:asciiTheme="minorHAnsi" w:hAnsiTheme="minorHAnsi" w:cstheme="minorHAnsi"/>
        </w:rPr>
      </w:pPr>
      <w:r w:rsidRPr="00D45713">
        <w:rPr>
          <w:rFonts w:asciiTheme="minorHAnsi" w:hAnsiTheme="minorHAnsi" w:cstheme="minorHAnsi"/>
        </w:rPr>
        <w:t xml:space="preserve">Random forest is a supervised classification technique based on an ensemble of decision trees (see Breiman L. (2001) Random Forests.  </w:t>
      </w:r>
      <w:r w:rsidRPr="00D45713">
        <w:rPr>
          <w:rFonts w:asciiTheme="minorHAnsi" w:hAnsiTheme="minorHAnsi" w:cstheme="minorHAnsi"/>
          <w:iCs/>
        </w:rPr>
        <w:t>Machine Learning</w:t>
      </w:r>
      <w:r w:rsidRPr="00D45713">
        <w:rPr>
          <w:rFonts w:asciiTheme="minorHAnsi" w:hAnsiTheme="minorHAnsi" w:cstheme="minorHAnsi"/>
        </w:rPr>
        <w:t>.  45: 5-32; http://link.springer.com/article/10.1023%2FA%3A1010933404324).  For a given decision tree, a random subset of the data with identifying true class information is selected to build the tree (“bootstrap sample” or “training set”), and then the remaining data, the “out-of-bag” (OOB) variables, are passed down the tree to obtain a class prediction for each sample.  This process is repeated thousands of times to produce the forest.  The final classification of each sample is determined by computing the class prediction frequency (“votes”) for the OOB variables over the whole forest.  For example, suppose the random forest consists of 50,000 trees and that 25,000 trees had a prediction for sample 1.  Of these 25,000, suppose 15,000 trees classified the sample as belonging to Group A and the remaining 10,000 classified it as belonging to Group B.  Then the votes are 0.6 for Group A and 0.4 for Group B, and hence the final classification is Group A.  This method is unbiased since the prediction for each sample is based on trees built from a subset of samples that do not include that sample.    When the full forest is grown, the class predictions are compared to the true classes, generating the “OOB error rate” as a measure of prediction accuracy.  Thus, the prediction accuracy is an unbiased estimate of how well one can predict sample class in a new data set.  Random forest has several advantages – it makes no parametric assumptions, variable selection is not needed, it does not overfit, it is invariant to transformation, and it is fairly easy to implement with R.</w:t>
      </w:r>
    </w:p>
    <w:p w14:paraId="1E339926" w14:textId="77777777" w:rsidR="00F03CD3" w:rsidRPr="00D45713" w:rsidRDefault="00F03CD3" w:rsidP="00F03CD3">
      <w:pPr>
        <w:pStyle w:val="ListParagraph"/>
        <w:jc w:val="both"/>
        <w:rPr>
          <w:rFonts w:asciiTheme="minorHAnsi" w:hAnsiTheme="minorHAnsi" w:cstheme="minorHAnsi"/>
        </w:rPr>
      </w:pPr>
    </w:p>
    <w:p w14:paraId="3C87157B"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To determine which variables (biochemicals) make the largest contribution to the classification, a “variable importance” measure is computed.  We use the “Mean Decrease Accuracy” (MDA) as this metric.  The MDA is determined by randomly permuting a variable, running the observed values through the trees, and then reassessing the prediction accuracy.  If a variable is not important, then this procedure will have little change in the accuracy of the class prediction (permuting random noise will give random noise).  By contrast, if a variable is important to the classification, the prediction accuracy will drop after such a permutation, which we record as the MDA.  Thus, the random forest analysis provides an “importance” rank ordering of biochemicals; we typically output the top 30 biochemicals in the list as potentially worthy of further investigation.</w:t>
      </w:r>
    </w:p>
    <w:p w14:paraId="254FDEE2" w14:textId="77777777" w:rsidR="00F03CD3" w:rsidRPr="00D45713" w:rsidRDefault="00F03CD3" w:rsidP="00F03CD3">
      <w:pPr>
        <w:pStyle w:val="ListParagraph"/>
        <w:jc w:val="both"/>
        <w:rPr>
          <w:rFonts w:asciiTheme="minorHAnsi" w:hAnsiTheme="minorHAnsi" w:cstheme="minorHAnsi"/>
        </w:rPr>
      </w:pPr>
    </w:p>
    <w:p w14:paraId="04265DB8" w14:textId="77777777" w:rsidR="00F03CD3" w:rsidRPr="00D45713" w:rsidRDefault="00F03CD3" w:rsidP="00F03CD3">
      <w:pPr>
        <w:pStyle w:val="ListParagraph"/>
        <w:jc w:val="both"/>
        <w:rPr>
          <w:rFonts w:asciiTheme="minorHAnsi" w:hAnsiTheme="minorHAnsi" w:cstheme="minorHAnsi"/>
        </w:rPr>
      </w:pPr>
    </w:p>
    <w:p w14:paraId="4EE6189C"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Hierarchical Clustering</w:t>
      </w:r>
    </w:p>
    <w:p w14:paraId="6C4AFE6C"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Hierarchical clustering is an unsupervised method for clustering the data, and can show large-scale differences. There are several types of hierarchical clustering and many distance metrics that can be used.  A common method is complete clustering using the Euclidean distance, where each sample is a vector with all of the metabolite values.     The differences seen in the cluster may be unrelated to the treatment groups or study design.</w:t>
      </w:r>
    </w:p>
    <w:p w14:paraId="140F68B4" w14:textId="77777777" w:rsidR="00F03CD3" w:rsidRDefault="00F03CD3" w:rsidP="00F03CD3">
      <w:pPr>
        <w:jc w:val="both"/>
        <w:rPr>
          <w:rFonts w:asciiTheme="minorHAnsi" w:hAnsiTheme="minorHAnsi" w:cstheme="minorHAnsi"/>
          <w:b/>
        </w:rPr>
      </w:pPr>
    </w:p>
    <w:p w14:paraId="2E30716C" w14:textId="77777777" w:rsidR="00FC2579" w:rsidRPr="00D45713" w:rsidRDefault="00FC2579" w:rsidP="00F03CD3">
      <w:pPr>
        <w:jc w:val="both"/>
        <w:rPr>
          <w:rFonts w:asciiTheme="minorHAnsi" w:hAnsiTheme="minorHAnsi" w:cstheme="minorHAnsi"/>
          <w:b/>
        </w:rPr>
      </w:pPr>
    </w:p>
    <w:p w14:paraId="137C0046" w14:textId="77777777" w:rsidR="00F03CD3" w:rsidRPr="00D45713" w:rsidRDefault="00F03CD3" w:rsidP="00F03CD3">
      <w:pPr>
        <w:pStyle w:val="ListParagraph"/>
        <w:numPr>
          <w:ilvl w:val="0"/>
          <w:numId w:val="28"/>
        </w:numPr>
        <w:spacing w:after="200" w:line="276" w:lineRule="auto"/>
        <w:jc w:val="both"/>
        <w:rPr>
          <w:rFonts w:asciiTheme="minorHAnsi" w:hAnsiTheme="minorHAnsi" w:cstheme="minorHAnsi"/>
          <w:b/>
        </w:rPr>
      </w:pPr>
      <w:r w:rsidRPr="00D45713">
        <w:rPr>
          <w:rFonts w:asciiTheme="minorHAnsi" w:hAnsiTheme="minorHAnsi" w:cstheme="minorHAnsi"/>
          <w:b/>
        </w:rPr>
        <w:t>Principal Components Analysis (PCA)</w:t>
      </w:r>
    </w:p>
    <w:p w14:paraId="17232E36"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Principal components analysis is an unsupervised analysis that reduces the dimension of the data.    Each principal component is a linear combination of every metabolite and the principal components are uncorrelated.   The number of principal components is equal to the number of observations.  </w:t>
      </w:r>
    </w:p>
    <w:p w14:paraId="3BB08A9C" w14:textId="77777777" w:rsidR="00F03CD3" w:rsidRPr="00D45713" w:rsidRDefault="00F03CD3" w:rsidP="00F03CD3">
      <w:pPr>
        <w:pStyle w:val="ListParagraph"/>
        <w:jc w:val="both"/>
        <w:rPr>
          <w:rFonts w:asciiTheme="minorHAnsi" w:hAnsiTheme="minorHAnsi" w:cstheme="minorHAnsi"/>
        </w:rPr>
      </w:pPr>
    </w:p>
    <w:p w14:paraId="7EC256F6" w14:textId="77777777" w:rsidR="00F03CD3" w:rsidRPr="00D45713" w:rsidRDefault="00F03CD3" w:rsidP="00F03CD3">
      <w:pPr>
        <w:pStyle w:val="ListParagraph"/>
        <w:jc w:val="both"/>
        <w:rPr>
          <w:rFonts w:asciiTheme="minorHAnsi" w:hAnsiTheme="minorHAnsi" w:cstheme="minorHAnsi"/>
        </w:rPr>
      </w:pPr>
      <w:r w:rsidRPr="00D45713">
        <w:rPr>
          <w:rFonts w:asciiTheme="minorHAnsi" w:hAnsiTheme="minorHAnsi" w:cstheme="minorHAnsi"/>
        </w:rPr>
        <w:t xml:space="preserve">The first principal component is computed by determining the coefficients of the metabolites that maximizes the variance of the linear combination.   The second component finds the coefficients that maximize the variance with the condition that the second component is orthogonal to the first.   The third component is orthogonal to the first two components and so on.  The total variance is defined as the sum of the variances of the predicted values of each component (the variance is the square of the standard deviation), and for each component, the proportion of the total variance is computed.   For example, if the standard deviation of the predicted values of the first principal component is 0.4 and the total variance = 1, then 100*0.4*0.4/1 = 16% of the total variance is explained by the first component.  Since this is an unsupervised method, the main components may be unrelated to the treatment groups, and the “separation” does not give an estimate of the true predictive ability.  </w:t>
      </w:r>
    </w:p>
    <w:p w14:paraId="008F28D6" w14:textId="77777777" w:rsidR="00F03CD3" w:rsidRPr="00D45713" w:rsidRDefault="00F03CD3" w:rsidP="00F03CD3">
      <w:pPr>
        <w:pStyle w:val="ListParagraph"/>
        <w:jc w:val="both"/>
        <w:rPr>
          <w:rFonts w:asciiTheme="minorHAnsi" w:hAnsiTheme="minorHAnsi" w:cstheme="minorHAnsi"/>
        </w:rPr>
      </w:pPr>
    </w:p>
    <w:p w14:paraId="0F1E4AD3" w14:textId="77777777" w:rsidR="00F03CD3" w:rsidRPr="00D45713" w:rsidRDefault="00F03CD3" w:rsidP="00F03CD3">
      <w:pPr>
        <w:pStyle w:val="NoSpacing"/>
        <w:numPr>
          <w:ilvl w:val="0"/>
          <w:numId w:val="28"/>
        </w:numPr>
        <w:spacing w:line="276" w:lineRule="auto"/>
        <w:jc w:val="both"/>
        <w:rPr>
          <w:rFonts w:asciiTheme="minorHAnsi" w:hAnsiTheme="minorHAnsi" w:cstheme="minorHAnsi"/>
          <w:b/>
        </w:rPr>
      </w:pPr>
      <w:r w:rsidRPr="00D45713">
        <w:rPr>
          <w:rFonts w:asciiTheme="minorHAnsi" w:hAnsiTheme="minorHAnsi" w:cstheme="minorHAnsi"/>
          <w:b/>
        </w:rPr>
        <w:t>Z-scores</w:t>
      </w:r>
    </w:p>
    <w:p w14:paraId="18293328" w14:textId="77777777" w:rsidR="00F03CD3" w:rsidRPr="00D45713" w:rsidRDefault="00F03CD3" w:rsidP="00F03CD3">
      <w:pPr>
        <w:pStyle w:val="NoSpacing"/>
        <w:spacing w:line="276" w:lineRule="auto"/>
        <w:ind w:left="720"/>
        <w:jc w:val="both"/>
        <w:rPr>
          <w:rFonts w:asciiTheme="minorHAnsi" w:hAnsiTheme="minorHAnsi" w:cstheme="minorHAnsi"/>
        </w:rPr>
      </w:pPr>
      <w:r w:rsidRPr="00D45713">
        <w:rPr>
          <w:rFonts w:asciiTheme="minorHAnsi" w:hAnsiTheme="minorHAnsi" w:cstheme="minorHAnsi"/>
        </w:rPr>
        <w:t xml:space="preserve">An intensity measurement for a metabolite by itself does not tell much. If for example a patient contains a blood glucose level of 300, this could be very good news if most people have blood glucose levels around 300, but less so if most people have levels around 100. In other words a measurement is meaningful only relative to the means of the sample or the population. This can be achieved by transforming the measurements into Z-scores which are expressed as standard deviations from the mean.  </w:t>
      </w:r>
    </w:p>
    <w:p w14:paraId="7F9C54D7" w14:textId="77777777" w:rsidR="00F03CD3" w:rsidRPr="00D45713" w:rsidRDefault="00F03CD3" w:rsidP="00F03CD3">
      <w:pPr>
        <w:pStyle w:val="NoSpacing"/>
        <w:spacing w:line="276" w:lineRule="auto"/>
        <w:ind w:left="720"/>
        <w:jc w:val="both"/>
        <w:rPr>
          <w:rFonts w:asciiTheme="minorHAnsi" w:hAnsiTheme="minorHAnsi" w:cstheme="minorHAnsi"/>
        </w:rPr>
      </w:pPr>
    </w:p>
    <w:p w14:paraId="2B6FB35B" w14:textId="77777777" w:rsidR="00F03CD3" w:rsidRPr="00D45713" w:rsidRDefault="00F03CD3" w:rsidP="00F03CD3">
      <w:pPr>
        <w:pStyle w:val="NoSpacing"/>
        <w:spacing w:line="276" w:lineRule="auto"/>
        <w:ind w:left="720"/>
        <w:jc w:val="both"/>
        <w:rPr>
          <w:rFonts w:asciiTheme="minorHAnsi" w:hAnsiTheme="minorHAnsi" w:cstheme="minorHAnsi"/>
        </w:rPr>
      </w:pPr>
      <w:r w:rsidRPr="00D45713">
        <w:rPr>
          <w:rFonts w:asciiTheme="minorHAnsi" w:hAnsiTheme="minorHAnsi" w:cstheme="minorHAnsi"/>
        </w:rPr>
        <w:t>The Z-score, also called the standard score or normal score, is a dimensionless quantity derived by subtracting the control population mean from an individual raw score and then dividing the difference by the control population standard deviation. The Z-score indicates how many standard deviations an observation is above or below the mean of the control group. The Z-score is negative when the raw score is below the mean, positive when above. Since knowing the true mean and standard deviation of a control population is often unrealistic, the mean and standard deviation of the control population may be estimated using a random control sample.</w:t>
      </w:r>
    </w:p>
    <w:p w14:paraId="774073DC" w14:textId="77777777" w:rsidR="00F03CD3" w:rsidRPr="00D45713" w:rsidRDefault="00F03CD3" w:rsidP="00F03CD3">
      <w:pPr>
        <w:jc w:val="both"/>
        <w:rPr>
          <w:rFonts w:asciiTheme="minorHAnsi" w:hAnsiTheme="minorHAnsi" w:cstheme="minorHAnsi"/>
        </w:rPr>
      </w:pPr>
    </w:p>
    <w:p w14:paraId="7EA9BBE6" w14:textId="77777777" w:rsidR="00F03CD3" w:rsidRPr="00D45713" w:rsidRDefault="00F03CD3" w:rsidP="000E58EF">
      <w:pPr>
        <w:pageBreakBefore/>
        <w:jc w:val="both"/>
        <w:rPr>
          <w:rFonts w:asciiTheme="minorHAnsi" w:hAnsiTheme="minorHAnsi" w:cstheme="minorHAnsi"/>
        </w:rPr>
      </w:pPr>
      <w:r w:rsidRPr="00D45713">
        <w:rPr>
          <w:rFonts w:asciiTheme="minorHAnsi" w:hAnsiTheme="minorHAnsi" w:cstheme="minorHAnsi"/>
          <w:noProof/>
        </w:rPr>
        <w:lastRenderedPageBreak/>
        <w:drawing>
          <wp:anchor distT="0" distB="0" distL="114300" distR="114300" simplePos="0" relativeHeight="251666432" behindDoc="1" locked="0" layoutInCell="1" allowOverlap="1" wp14:anchorId="1808D0CC" wp14:editId="253ED969">
            <wp:simplePos x="0" y="0"/>
            <wp:positionH relativeFrom="column">
              <wp:posOffset>2609850</wp:posOffset>
            </wp:positionH>
            <wp:positionV relativeFrom="paragraph">
              <wp:posOffset>113665</wp:posOffset>
            </wp:positionV>
            <wp:extent cx="514350" cy="342900"/>
            <wp:effectExtent l="0" t="0" r="0" b="0"/>
            <wp:wrapTight wrapText="bothSides">
              <wp:wrapPolygon edited="0">
                <wp:start x="800" y="0"/>
                <wp:lineTo x="800" y="8400"/>
                <wp:lineTo x="4800" y="19200"/>
                <wp:lineTo x="8000" y="20400"/>
                <wp:lineTo x="14400" y="20400"/>
                <wp:lineTo x="18400" y="19200"/>
                <wp:lineTo x="21600" y="9600"/>
                <wp:lineTo x="21600" y="0"/>
                <wp:lineTo x="800" y="0"/>
              </wp:wrapPolygon>
            </wp:wrapTight>
            <wp:docPr id="9" name="Picture 2" descr=" z = \frac{x - \mu}{\sig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z = \frac{x - \mu}{\sigma}"/>
                    <pic:cNvPicPr>
                      <a:picLocks noChangeAspect="1" noChangeArrowheads="1"/>
                    </pic:cNvPicPr>
                  </pic:nvPicPr>
                  <pic:blipFill>
                    <a:blip r:embed="rId23" r:link="rId24" cstate="print"/>
                    <a:srcRect l="37209"/>
                    <a:stretch>
                      <a:fillRect/>
                    </a:stretch>
                  </pic:blipFill>
                  <pic:spPr bwMode="auto">
                    <a:xfrm>
                      <a:off x="0" y="0"/>
                      <a:ext cx="514350" cy="342900"/>
                    </a:xfrm>
                    <a:prstGeom prst="rect">
                      <a:avLst/>
                    </a:prstGeom>
                    <a:noFill/>
                    <a:ln w="9525">
                      <a:noFill/>
                      <a:miter lim="800000"/>
                      <a:headEnd/>
                      <a:tailEnd/>
                    </a:ln>
                  </pic:spPr>
                </pic:pic>
              </a:graphicData>
            </a:graphic>
          </wp:anchor>
        </w:drawing>
      </w:r>
    </w:p>
    <w:p w14:paraId="509A65DB" w14:textId="77777777" w:rsidR="00F03CD3" w:rsidRPr="00D45713" w:rsidRDefault="00F03CD3" w:rsidP="00F03CD3">
      <w:pPr>
        <w:ind w:firstLine="720"/>
        <w:jc w:val="both"/>
        <w:rPr>
          <w:rFonts w:asciiTheme="minorHAnsi" w:hAnsiTheme="minorHAnsi" w:cstheme="minorHAnsi"/>
        </w:rPr>
      </w:pPr>
      <w:r w:rsidRPr="00D45713">
        <w:rPr>
          <w:rFonts w:asciiTheme="minorHAnsi" w:hAnsiTheme="minorHAnsi" w:cstheme="minorHAnsi"/>
        </w:rPr>
        <w:t xml:space="preserve">Z-score = </w:t>
      </w:r>
    </w:p>
    <w:p w14:paraId="4E4273C6" w14:textId="77777777" w:rsidR="00F03CD3" w:rsidRPr="00D45713" w:rsidRDefault="00F03CD3" w:rsidP="00F03CD3">
      <w:pPr>
        <w:ind w:left="720"/>
        <w:jc w:val="both"/>
        <w:rPr>
          <w:rFonts w:asciiTheme="minorHAnsi" w:hAnsiTheme="minorHAnsi" w:cstheme="minorHAnsi"/>
        </w:rPr>
      </w:pPr>
      <w:r w:rsidRPr="00D45713">
        <w:rPr>
          <w:rFonts w:asciiTheme="minorHAnsi" w:hAnsiTheme="minorHAnsi" w:cstheme="minorHAnsi"/>
        </w:rPr>
        <w:t xml:space="preserve">where: </w:t>
      </w:r>
      <w:r w:rsidRPr="00D45713">
        <w:rPr>
          <w:rFonts w:asciiTheme="minorHAnsi" w:hAnsiTheme="minorHAnsi" w:cstheme="minorHAnsi"/>
        </w:rPr>
        <w:tab/>
        <w:t>x is a raw score to be standardized, μ is the mean of the control population,  σ is the standard deviation of the control population</w:t>
      </w:r>
    </w:p>
    <w:p w14:paraId="66605E60" w14:textId="77777777" w:rsidR="00F03CD3" w:rsidRPr="00D45713" w:rsidRDefault="00F03CD3" w:rsidP="00F03CD3">
      <w:pPr>
        <w:jc w:val="both"/>
        <w:rPr>
          <w:rFonts w:asciiTheme="minorHAnsi" w:hAnsiTheme="minorHAnsi" w:cstheme="minorHAnsi"/>
        </w:rPr>
      </w:pPr>
    </w:p>
    <w:p w14:paraId="1A1174D9" w14:textId="77777777" w:rsidR="00F03CD3" w:rsidRPr="00D45713" w:rsidRDefault="00F03CD3" w:rsidP="00F03CD3">
      <w:pPr>
        <w:ind w:left="720"/>
        <w:jc w:val="both"/>
        <w:rPr>
          <w:rFonts w:asciiTheme="minorHAnsi" w:hAnsiTheme="minorHAnsi" w:cstheme="minorHAnsi"/>
        </w:rPr>
      </w:pPr>
      <w:r w:rsidRPr="00D45713">
        <w:rPr>
          <w:rFonts w:asciiTheme="minorHAnsi" w:hAnsiTheme="minorHAnsi" w:cstheme="minorHAnsi"/>
        </w:rPr>
        <w:t xml:space="preserve">Subtracting the mean </w:t>
      </w:r>
      <w:r w:rsidRPr="00D45713">
        <w:rPr>
          <w:rFonts w:asciiTheme="minorHAnsi" w:hAnsiTheme="minorHAnsi" w:cstheme="minorHAnsi"/>
          <w:i/>
        </w:rPr>
        <w:t>centers</w:t>
      </w:r>
      <w:r w:rsidRPr="00D45713">
        <w:rPr>
          <w:rFonts w:asciiTheme="minorHAnsi" w:hAnsiTheme="minorHAnsi" w:cstheme="minorHAnsi"/>
        </w:rPr>
        <w:t xml:space="preserve"> the distribution, and dividing by the standard deviation </w:t>
      </w:r>
      <w:r w:rsidRPr="00D45713">
        <w:rPr>
          <w:rFonts w:asciiTheme="minorHAnsi" w:hAnsiTheme="minorHAnsi" w:cstheme="minorHAnsi"/>
          <w:i/>
        </w:rPr>
        <w:t>standardizes</w:t>
      </w:r>
      <w:r w:rsidRPr="00D45713">
        <w:rPr>
          <w:rFonts w:asciiTheme="minorHAnsi" w:hAnsiTheme="minorHAnsi" w:cstheme="minorHAnsi"/>
        </w:rPr>
        <w:t xml:space="preserve"> the distribution. The interesting properties of Z-scores are that they have a zero mean (effect of “centering”) and a variance and standard deviation of 1 (effect of “standardizing”). This is because all distributions expressed in Z-scores have the same mean (0) and the same variance (1), so we can use Z-scores to compare observations coming from different distributions. When a distribution is normal most of the Z-scores (more than 99%) lay between the values of -3 and +3.</w:t>
      </w:r>
    </w:p>
    <w:p w14:paraId="2ABC78DB" w14:textId="77777777" w:rsidR="002C20F0" w:rsidRPr="0024452E" w:rsidRDefault="002C20F0">
      <w:pPr>
        <w:rPr>
          <w:rFonts w:asciiTheme="minorHAnsi" w:hAnsiTheme="minorHAnsi"/>
          <w:b/>
          <w:bCs/>
          <w:caps/>
          <w:color w:val="000000"/>
          <w:szCs w:val="24"/>
        </w:rPr>
      </w:pPr>
    </w:p>
    <w:sectPr w:rsidR="002C20F0" w:rsidRPr="0024452E" w:rsidSect="004A1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E2E62" w14:textId="77777777" w:rsidR="00373F14" w:rsidRDefault="00373F14" w:rsidP="0048449D">
      <w:r>
        <w:separator/>
      </w:r>
    </w:p>
  </w:endnote>
  <w:endnote w:type="continuationSeparator" w:id="0">
    <w:p w14:paraId="3F816675" w14:textId="77777777" w:rsidR="00373F14" w:rsidRDefault="00373F14" w:rsidP="0048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eria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FB94C" w14:textId="77777777" w:rsidR="00FC2579" w:rsidRPr="00DB682C" w:rsidRDefault="00FC2579" w:rsidP="001B43E4">
    <w:pPr>
      <w:pStyle w:val="Style1"/>
      <w:rPr>
        <w:rFonts w:asciiTheme="minorHAnsi" w:hAnsiTheme="minorHAnsi"/>
        <w:lang w:val="pt-BR"/>
      </w:rPr>
    </w:pPr>
    <w:r w:rsidRPr="00816FA5">
      <w:rPr>
        <w:rFonts w:asciiTheme="minorHAnsi" w:hAnsiTheme="minorHAnsi"/>
      </w:rPr>
      <w:drawing>
        <wp:inline distT="0" distB="0" distL="0" distR="0" wp14:anchorId="42AF3A16" wp14:editId="57544757">
          <wp:extent cx="962025" cy="200025"/>
          <wp:effectExtent l="19050" t="0" r="9525" b="0"/>
          <wp:docPr id="12" name="Picture 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63699" cy="200373"/>
                  </a:xfrm>
                  <a:prstGeom prst="rect">
                    <a:avLst/>
                  </a:prstGeom>
                  <a:noFill/>
                  <a:ln w="9525">
                    <a:noFill/>
                    <a:miter lim="800000"/>
                    <a:headEnd/>
                    <a:tailEnd/>
                  </a:ln>
                </pic:spPr>
              </pic:pic>
            </a:graphicData>
          </a:graphic>
        </wp:inline>
      </w:drawing>
    </w:r>
    <w:r w:rsidRPr="00DB682C">
      <w:rPr>
        <w:rFonts w:asciiTheme="minorHAnsi" w:hAnsiTheme="minorHAnsi"/>
        <w:lang w:val="pt-BR"/>
      </w:rPr>
      <w:tab/>
    </w:r>
    <w:r w:rsidRPr="00DB682C">
      <w:rPr>
        <w:rFonts w:asciiTheme="minorHAnsi" w:hAnsiTheme="minorHAnsi"/>
        <w:lang w:val="pt-BR"/>
      </w:rPr>
      <w:tab/>
      <w:t xml:space="preserve">CONFIDENTIAL </w:t>
    </w:r>
  </w:p>
  <w:p w14:paraId="6C146C14" w14:textId="22E7999E" w:rsidR="00FC2579" w:rsidRPr="00EA2812" w:rsidRDefault="00FC2579" w:rsidP="00A91F12">
    <w:pPr>
      <w:pStyle w:val="Style2"/>
    </w:pPr>
    <w:r>
      <w:rPr>
        <w:rFonts w:asciiTheme="minorHAnsi" w:hAnsiTheme="minorHAnsi"/>
      </w:rPr>
      <w:t>617 Davis Drive, Suite 400,</w:t>
    </w:r>
    <w:r w:rsidRPr="00DB682C">
      <w:rPr>
        <w:rFonts w:asciiTheme="minorHAnsi" w:hAnsiTheme="minorHAnsi"/>
      </w:rPr>
      <w:t xml:space="preserve"> Durham, NC 27713 • 919-572-1711</w:t>
    </w:r>
    <w:r w:rsidRPr="00DB682C">
      <w:rPr>
        <w:rFonts w:asciiTheme="minorHAnsi" w:hAnsiTheme="minorHAnsi"/>
      </w:rPr>
      <w:tab/>
      <w:t xml:space="preserve">Page </w:t>
    </w:r>
    <w:r w:rsidRPr="00DB682C">
      <w:rPr>
        <w:rFonts w:asciiTheme="minorHAnsi" w:hAnsiTheme="minorHAnsi"/>
      </w:rPr>
      <w:fldChar w:fldCharType="begin"/>
    </w:r>
    <w:r w:rsidRPr="00DB682C">
      <w:rPr>
        <w:rFonts w:asciiTheme="minorHAnsi" w:hAnsiTheme="minorHAnsi"/>
      </w:rPr>
      <w:instrText xml:space="preserve"> PAGE   \* MERGEFORMAT </w:instrText>
    </w:r>
    <w:r w:rsidRPr="00DB682C">
      <w:rPr>
        <w:rFonts w:asciiTheme="minorHAnsi" w:hAnsiTheme="minorHAnsi"/>
      </w:rPr>
      <w:fldChar w:fldCharType="separate"/>
    </w:r>
    <w:r w:rsidR="00C9316A">
      <w:rPr>
        <w:rFonts w:asciiTheme="minorHAnsi" w:hAnsiTheme="minorHAnsi"/>
        <w:noProof/>
      </w:rPr>
      <w:t>2</w:t>
    </w:r>
    <w:r w:rsidRPr="00DB682C">
      <w:rPr>
        <w:rFonts w:asciiTheme="minorHAnsi" w:hAnsiTheme="minorHAnsi"/>
      </w:rPr>
      <w:fldChar w:fldCharType="end"/>
    </w:r>
    <w:r w:rsidRPr="00DB682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D2789" w14:textId="77777777" w:rsidR="00FC2579" w:rsidRDefault="00FC2579" w:rsidP="00BA2E21">
    <w:pPr>
      <w:pStyle w:val="NoSpacing"/>
      <w:rPr>
        <w:color w:val="1F497D"/>
        <w:lang w:val="fr-FR"/>
      </w:rPr>
    </w:pPr>
  </w:p>
  <w:p w14:paraId="0C728E7C" w14:textId="77777777" w:rsidR="00FC2579" w:rsidRDefault="00FC2579" w:rsidP="00BA2E21">
    <w:pPr>
      <w:pStyle w:val="NoSpacing"/>
      <w:rPr>
        <w:color w:val="1F497D"/>
        <w:lang w:val="fr-FR"/>
      </w:rPr>
    </w:pPr>
  </w:p>
  <w:p w14:paraId="21D0EB1D" w14:textId="77777777" w:rsidR="00FC2579" w:rsidRDefault="00FC2579" w:rsidP="00BA2E21">
    <w:pPr>
      <w:pStyle w:val="NoSpacing"/>
      <w:rPr>
        <w:color w:val="1F497D"/>
        <w:lang w:val="fr-FR"/>
      </w:rPr>
    </w:pPr>
  </w:p>
  <w:p w14:paraId="66D8769F" w14:textId="77777777" w:rsidR="00FC2579" w:rsidRPr="00EA2812" w:rsidRDefault="00FC2579">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E8731" w14:textId="77777777" w:rsidR="00373F14" w:rsidRDefault="00373F14" w:rsidP="0048449D">
      <w:r>
        <w:separator/>
      </w:r>
    </w:p>
  </w:footnote>
  <w:footnote w:type="continuationSeparator" w:id="0">
    <w:p w14:paraId="2FEB97CA" w14:textId="77777777" w:rsidR="00373F14" w:rsidRDefault="00373F14" w:rsidP="00484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7E2E"/>
    <w:multiLevelType w:val="hybridMultilevel"/>
    <w:tmpl w:val="8A9AC7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82ECF"/>
    <w:multiLevelType w:val="hybridMultilevel"/>
    <w:tmpl w:val="EEA01548"/>
    <w:lvl w:ilvl="0" w:tplc="04090001">
      <w:start w:val="1"/>
      <w:numFmt w:val="bullet"/>
      <w:lvlText w:val=""/>
      <w:lvlJc w:val="left"/>
      <w:pPr>
        <w:ind w:left="720" w:hanging="360"/>
      </w:pPr>
      <w:rPr>
        <w:rFonts w:ascii="Symbol" w:hAnsi="Symbol" w:hint="default"/>
      </w:rPr>
    </w:lvl>
    <w:lvl w:ilvl="1" w:tplc="F5AED32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3A0"/>
    <w:multiLevelType w:val="hybridMultilevel"/>
    <w:tmpl w:val="67D6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63D2E"/>
    <w:multiLevelType w:val="hybridMultilevel"/>
    <w:tmpl w:val="E75E899E"/>
    <w:lvl w:ilvl="0" w:tplc="DCA8D292">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D0ABE"/>
    <w:multiLevelType w:val="hybridMultilevel"/>
    <w:tmpl w:val="6090EFEA"/>
    <w:lvl w:ilvl="0" w:tplc="7B4A3570">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F54CF"/>
    <w:multiLevelType w:val="hybridMultilevel"/>
    <w:tmpl w:val="B072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B2E00"/>
    <w:multiLevelType w:val="hybridMultilevel"/>
    <w:tmpl w:val="D40695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A7B05"/>
    <w:multiLevelType w:val="hybridMultilevel"/>
    <w:tmpl w:val="D0503E14"/>
    <w:lvl w:ilvl="0" w:tplc="04090001">
      <w:start w:val="1"/>
      <w:numFmt w:val="bullet"/>
      <w:lvlText w:val=""/>
      <w:lvlJc w:val="left"/>
      <w:pPr>
        <w:tabs>
          <w:tab w:val="num" w:pos="720"/>
        </w:tabs>
        <w:ind w:left="720" w:hanging="360"/>
      </w:pPr>
      <w:rPr>
        <w:rFonts w:ascii="Symbol" w:hAnsi="Symbol" w:hint="default"/>
      </w:rPr>
    </w:lvl>
    <w:lvl w:ilvl="1" w:tplc="C5E4630A">
      <w:start w:val="1"/>
      <w:numFmt w:val="bullet"/>
      <w:lvlText w:val=""/>
      <w:lvlJc w:val="left"/>
      <w:pPr>
        <w:tabs>
          <w:tab w:val="num" w:pos="432"/>
        </w:tabs>
        <w:ind w:left="432" w:hanging="144"/>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2B446D"/>
    <w:multiLevelType w:val="hybridMultilevel"/>
    <w:tmpl w:val="34FC3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0428CD"/>
    <w:multiLevelType w:val="hybridMultilevel"/>
    <w:tmpl w:val="D4902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8A5816"/>
    <w:multiLevelType w:val="hybridMultilevel"/>
    <w:tmpl w:val="2BC2F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670A8"/>
    <w:multiLevelType w:val="hybridMultilevel"/>
    <w:tmpl w:val="E9F85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969F5"/>
    <w:multiLevelType w:val="hybridMultilevel"/>
    <w:tmpl w:val="1FA68468"/>
    <w:lvl w:ilvl="0" w:tplc="44A0F8D0">
      <w:start w:val="1"/>
      <w:numFmt w:val="bullet"/>
      <w:lvlText w:val="•"/>
      <w:lvlJc w:val="left"/>
      <w:pPr>
        <w:tabs>
          <w:tab w:val="num" w:pos="720"/>
        </w:tabs>
        <w:ind w:left="720" w:hanging="360"/>
      </w:pPr>
      <w:rPr>
        <w:rFonts w:ascii="Times New Roman" w:hAnsi="Times New Roman" w:cs="Times New Roman" w:hint="default"/>
      </w:rPr>
    </w:lvl>
    <w:lvl w:ilvl="1" w:tplc="04090001">
      <w:start w:val="1"/>
      <w:numFmt w:val="bullet"/>
      <w:lvlText w:val=""/>
      <w:lvlJc w:val="left"/>
      <w:pPr>
        <w:tabs>
          <w:tab w:val="num" w:pos="1440"/>
        </w:tabs>
        <w:ind w:left="1440" w:hanging="360"/>
      </w:pPr>
      <w:rPr>
        <w:rFonts w:ascii="Symbol" w:hAnsi="Symbol" w:cs="Symbol" w:hint="default"/>
      </w:rPr>
    </w:lvl>
    <w:lvl w:ilvl="2" w:tplc="B75CB2A2">
      <w:start w:val="1"/>
      <w:numFmt w:val="decimal"/>
      <w:lvlText w:val="%3."/>
      <w:lvlJc w:val="left"/>
      <w:pPr>
        <w:tabs>
          <w:tab w:val="num" w:pos="2160"/>
        </w:tabs>
        <w:ind w:left="2160" w:hanging="360"/>
      </w:pPr>
    </w:lvl>
    <w:lvl w:ilvl="3" w:tplc="A64C3FEA">
      <w:start w:val="1"/>
      <w:numFmt w:val="decimal"/>
      <w:lvlText w:val="%4."/>
      <w:lvlJc w:val="left"/>
      <w:pPr>
        <w:tabs>
          <w:tab w:val="num" w:pos="2880"/>
        </w:tabs>
        <w:ind w:left="2880" w:hanging="360"/>
      </w:pPr>
    </w:lvl>
    <w:lvl w:ilvl="4" w:tplc="7920249E">
      <w:start w:val="1"/>
      <w:numFmt w:val="decimal"/>
      <w:lvlText w:val="%5."/>
      <w:lvlJc w:val="left"/>
      <w:pPr>
        <w:tabs>
          <w:tab w:val="num" w:pos="3600"/>
        </w:tabs>
        <w:ind w:left="3600" w:hanging="360"/>
      </w:pPr>
    </w:lvl>
    <w:lvl w:ilvl="5" w:tplc="302ECB58">
      <w:start w:val="1"/>
      <w:numFmt w:val="decimal"/>
      <w:lvlText w:val="%6."/>
      <w:lvlJc w:val="left"/>
      <w:pPr>
        <w:tabs>
          <w:tab w:val="num" w:pos="4320"/>
        </w:tabs>
        <w:ind w:left="4320" w:hanging="360"/>
      </w:pPr>
    </w:lvl>
    <w:lvl w:ilvl="6" w:tplc="A6BA9B46">
      <w:start w:val="1"/>
      <w:numFmt w:val="decimal"/>
      <w:lvlText w:val="%7."/>
      <w:lvlJc w:val="left"/>
      <w:pPr>
        <w:tabs>
          <w:tab w:val="num" w:pos="5040"/>
        </w:tabs>
        <w:ind w:left="5040" w:hanging="360"/>
      </w:pPr>
    </w:lvl>
    <w:lvl w:ilvl="7" w:tplc="585A0C80">
      <w:start w:val="1"/>
      <w:numFmt w:val="decimal"/>
      <w:lvlText w:val="%8."/>
      <w:lvlJc w:val="left"/>
      <w:pPr>
        <w:tabs>
          <w:tab w:val="num" w:pos="5760"/>
        </w:tabs>
        <w:ind w:left="5760" w:hanging="360"/>
      </w:pPr>
    </w:lvl>
    <w:lvl w:ilvl="8" w:tplc="E58600DE">
      <w:start w:val="1"/>
      <w:numFmt w:val="decimal"/>
      <w:lvlText w:val="%9."/>
      <w:lvlJc w:val="left"/>
      <w:pPr>
        <w:tabs>
          <w:tab w:val="num" w:pos="6480"/>
        </w:tabs>
        <w:ind w:left="6480" w:hanging="360"/>
      </w:pPr>
    </w:lvl>
  </w:abstractNum>
  <w:abstractNum w:abstractNumId="13" w15:restartNumberingAfterBreak="0">
    <w:nsid w:val="34B00864"/>
    <w:multiLevelType w:val="hybridMultilevel"/>
    <w:tmpl w:val="F5209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956488E"/>
    <w:multiLevelType w:val="hybridMultilevel"/>
    <w:tmpl w:val="4DE22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91435"/>
    <w:multiLevelType w:val="hybridMultilevel"/>
    <w:tmpl w:val="EF0C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0F7B9B"/>
    <w:multiLevelType w:val="hybridMultilevel"/>
    <w:tmpl w:val="5A46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3C5395"/>
    <w:multiLevelType w:val="hybridMultilevel"/>
    <w:tmpl w:val="02E0925A"/>
    <w:lvl w:ilvl="0" w:tplc="04090001">
      <w:start w:val="1"/>
      <w:numFmt w:val="bullet"/>
      <w:lvlText w:val=""/>
      <w:lvlJc w:val="left"/>
      <w:pPr>
        <w:tabs>
          <w:tab w:val="num" w:pos="720"/>
        </w:tabs>
        <w:ind w:left="720" w:hanging="360"/>
      </w:pPr>
      <w:rPr>
        <w:rFonts w:ascii="Symbol" w:hAnsi="Symbol" w:hint="default"/>
      </w:rPr>
    </w:lvl>
    <w:lvl w:ilvl="1" w:tplc="A12213EE">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3514EB"/>
    <w:multiLevelType w:val="hybridMultilevel"/>
    <w:tmpl w:val="769EF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7A1F35"/>
    <w:multiLevelType w:val="hybridMultilevel"/>
    <w:tmpl w:val="E3BE9BE8"/>
    <w:lvl w:ilvl="0" w:tplc="04090001">
      <w:start w:val="1"/>
      <w:numFmt w:val="bullet"/>
      <w:lvlText w:val=""/>
      <w:lvlJc w:val="left"/>
      <w:pPr>
        <w:ind w:left="720" w:hanging="360"/>
      </w:pPr>
      <w:rPr>
        <w:rFonts w:ascii="Symbol" w:hAnsi="Symbol" w:hint="default"/>
      </w:rPr>
    </w:lvl>
    <w:lvl w:ilvl="1" w:tplc="CF22DB9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D2285D"/>
    <w:multiLevelType w:val="hybridMultilevel"/>
    <w:tmpl w:val="67D2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2914EC"/>
    <w:multiLevelType w:val="hybridMultilevel"/>
    <w:tmpl w:val="BF362AFE"/>
    <w:lvl w:ilvl="0" w:tplc="34F022B2">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9D1200"/>
    <w:multiLevelType w:val="hybridMultilevel"/>
    <w:tmpl w:val="C3E6D4C4"/>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C23CBF"/>
    <w:multiLevelType w:val="hybridMultilevel"/>
    <w:tmpl w:val="5D783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77CD5"/>
    <w:multiLevelType w:val="hybridMultilevel"/>
    <w:tmpl w:val="A3241A48"/>
    <w:lvl w:ilvl="0" w:tplc="F55EB83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6E77253A"/>
    <w:multiLevelType w:val="hybridMultilevel"/>
    <w:tmpl w:val="00E81F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66D130F"/>
    <w:multiLevelType w:val="hybridMultilevel"/>
    <w:tmpl w:val="A628C324"/>
    <w:lvl w:ilvl="0" w:tplc="04090001">
      <w:start w:val="1"/>
      <w:numFmt w:val="bullet"/>
      <w:lvlText w:val=""/>
      <w:lvlJc w:val="left"/>
      <w:pPr>
        <w:tabs>
          <w:tab w:val="num" w:pos="720"/>
        </w:tabs>
        <w:ind w:left="720" w:hanging="360"/>
      </w:pPr>
      <w:rPr>
        <w:rFonts w:ascii="Symbol" w:hAnsi="Symbol" w:hint="default"/>
      </w:rPr>
    </w:lvl>
    <w:lvl w:ilvl="1" w:tplc="F87C5836">
      <w:start w:val="1"/>
      <w:numFmt w:val="bullet"/>
      <w:lvlText w:val=""/>
      <w:lvlJc w:val="left"/>
      <w:pPr>
        <w:tabs>
          <w:tab w:val="num" w:pos="360"/>
        </w:tabs>
        <w:ind w:left="432" w:hanging="144"/>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C95464"/>
    <w:multiLevelType w:val="hybridMultilevel"/>
    <w:tmpl w:val="7B5AC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167620"/>
    <w:multiLevelType w:val="hybridMultilevel"/>
    <w:tmpl w:val="F7B8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25"/>
  </w:num>
  <w:num w:numId="4">
    <w:abstractNumId w:val="26"/>
  </w:num>
  <w:num w:numId="5">
    <w:abstractNumId w:val="7"/>
  </w:num>
  <w:num w:numId="6">
    <w:abstractNumId w:val="10"/>
  </w:num>
  <w:num w:numId="7">
    <w:abstractNumId w:val="5"/>
  </w:num>
  <w:num w:numId="8">
    <w:abstractNumId w:val="13"/>
  </w:num>
  <w:num w:numId="9">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9"/>
  </w:num>
  <w:num w:numId="12">
    <w:abstractNumId w:val="28"/>
  </w:num>
  <w:num w:numId="13">
    <w:abstractNumId w:val="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num>
  <w:num w:numId="17">
    <w:abstractNumId w:val="6"/>
  </w:num>
  <w:num w:numId="18">
    <w:abstractNumId w:val="23"/>
  </w:num>
  <w:num w:numId="19">
    <w:abstractNumId w:val="1"/>
  </w:num>
  <w:num w:numId="20">
    <w:abstractNumId w:val="18"/>
  </w:num>
  <w:num w:numId="21">
    <w:abstractNumId w:val="27"/>
  </w:num>
  <w:num w:numId="22">
    <w:abstractNumId w:val="20"/>
  </w:num>
  <w:num w:numId="23">
    <w:abstractNumId w:val="14"/>
  </w:num>
  <w:num w:numId="24">
    <w:abstractNumId w:val="15"/>
  </w:num>
  <w:num w:numId="25">
    <w:abstractNumId w:val="21"/>
  </w:num>
  <w:num w:numId="26">
    <w:abstractNumId w:val="8"/>
  </w:num>
  <w:num w:numId="27">
    <w:abstractNumId w:val="16"/>
  </w:num>
  <w:num w:numId="28">
    <w:abstractNumId w:val="0"/>
  </w:num>
  <w:num w:numId="29">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2049">
      <o:colormru v:ext="edit" colors="#a2d2a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49D"/>
    <w:rsid w:val="00001416"/>
    <w:rsid w:val="0000177E"/>
    <w:rsid w:val="000039FB"/>
    <w:rsid w:val="00003EB2"/>
    <w:rsid w:val="00004601"/>
    <w:rsid w:val="000070F9"/>
    <w:rsid w:val="0000733B"/>
    <w:rsid w:val="00007375"/>
    <w:rsid w:val="00010165"/>
    <w:rsid w:val="000107D5"/>
    <w:rsid w:val="00010E17"/>
    <w:rsid w:val="00011BD9"/>
    <w:rsid w:val="00013C3F"/>
    <w:rsid w:val="000146A7"/>
    <w:rsid w:val="00014B9E"/>
    <w:rsid w:val="00015645"/>
    <w:rsid w:val="00015D59"/>
    <w:rsid w:val="00016092"/>
    <w:rsid w:val="00017C9F"/>
    <w:rsid w:val="000209D3"/>
    <w:rsid w:val="00021A53"/>
    <w:rsid w:val="00021B9B"/>
    <w:rsid w:val="00022E50"/>
    <w:rsid w:val="000236F6"/>
    <w:rsid w:val="00024C37"/>
    <w:rsid w:val="00024C46"/>
    <w:rsid w:val="00024E87"/>
    <w:rsid w:val="00025F99"/>
    <w:rsid w:val="00026700"/>
    <w:rsid w:val="000268CD"/>
    <w:rsid w:val="000274D0"/>
    <w:rsid w:val="0002789B"/>
    <w:rsid w:val="00027AD9"/>
    <w:rsid w:val="00030B4D"/>
    <w:rsid w:val="00031953"/>
    <w:rsid w:val="00031A09"/>
    <w:rsid w:val="00031BEE"/>
    <w:rsid w:val="0003208D"/>
    <w:rsid w:val="00032180"/>
    <w:rsid w:val="000325C0"/>
    <w:rsid w:val="00032D0A"/>
    <w:rsid w:val="00033216"/>
    <w:rsid w:val="000356BB"/>
    <w:rsid w:val="00037CD3"/>
    <w:rsid w:val="000447FE"/>
    <w:rsid w:val="000449B4"/>
    <w:rsid w:val="00044D5D"/>
    <w:rsid w:val="0004545B"/>
    <w:rsid w:val="00046A17"/>
    <w:rsid w:val="00050C88"/>
    <w:rsid w:val="000515F4"/>
    <w:rsid w:val="00051958"/>
    <w:rsid w:val="00052451"/>
    <w:rsid w:val="0005411F"/>
    <w:rsid w:val="0005576F"/>
    <w:rsid w:val="000557CA"/>
    <w:rsid w:val="00055DBF"/>
    <w:rsid w:val="0005718D"/>
    <w:rsid w:val="000575FB"/>
    <w:rsid w:val="000602F8"/>
    <w:rsid w:val="000616C5"/>
    <w:rsid w:val="0006189E"/>
    <w:rsid w:val="00062297"/>
    <w:rsid w:val="000622ED"/>
    <w:rsid w:val="0006362A"/>
    <w:rsid w:val="000648A4"/>
    <w:rsid w:val="000656B4"/>
    <w:rsid w:val="00065930"/>
    <w:rsid w:val="00065DD4"/>
    <w:rsid w:val="00065E9A"/>
    <w:rsid w:val="00065F9D"/>
    <w:rsid w:val="0006601B"/>
    <w:rsid w:val="000663DE"/>
    <w:rsid w:val="0006734D"/>
    <w:rsid w:val="00067AD8"/>
    <w:rsid w:val="00070092"/>
    <w:rsid w:val="0007296D"/>
    <w:rsid w:val="00072D5E"/>
    <w:rsid w:val="0007300C"/>
    <w:rsid w:val="00073776"/>
    <w:rsid w:val="00073B4F"/>
    <w:rsid w:val="000751FD"/>
    <w:rsid w:val="00075594"/>
    <w:rsid w:val="0007577F"/>
    <w:rsid w:val="00075DB8"/>
    <w:rsid w:val="0007671B"/>
    <w:rsid w:val="00077ADF"/>
    <w:rsid w:val="00077E98"/>
    <w:rsid w:val="00080159"/>
    <w:rsid w:val="000812F6"/>
    <w:rsid w:val="000818BC"/>
    <w:rsid w:val="0008224F"/>
    <w:rsid w:val="000822D5"/>
    <w:rsid w:val="00082C81"/>
    <w:rsid w:val="0008332A"/>
    <w:rsid w:val="00083E14"/>
    <w:rsid w:val="00084AE3"/>
    <w:rsid w:val="00084EE5"/>
    <w:rsid w:val="000854E0"/>
    <w:rsid w:val="00086E51"/>
    <w:rsid w:val="00087144"/>
    <w:rsid w:val="00087E94"/>
    <w:rsid w:val="00087F4F"/>
    <w:rsid w:val="000901B5"/>
    <w:rsid w:val="00090309"/>
    <w:rsid w:val="000908A9"/>
    <w:rsid w:val="00090C9D"/>
    <w:rsid w:val="00090F89"/>
    <w:rsid w:val="00091AA8"/>
    <w:rsid w:val="0009270B"/>
    <w:rsid w:val="000939AB"/>
    <w:rsid w:val="00094EF0"/>
    <w:rsid w:val="000955C0"/>
    <w:rsid w:val="0009574F"/>
    <w:rsid w:val="00095853"/>
    <w:rsid w:val="000959EF"/>
    <w:rsid w:val="00095ED9"/>
    <w:rsid w:val="00096EF2"/>
    <w:rsid w:val="00097C6A"/>
    <w:rsid w:val="00097C98"/>
    <w:rsid w:val="00097DBD"/>
    <w:rsid w:val="00097FBE"/>
    <w:rsid w:val="000A1AA9"/>
    <w:rsid w:val="000A201F"/>
    <w:rsid w:val="000A29A0"/>
    <w:rsid w:val="000A31D5"/>
    <w:rsid w:val="000A4AF5"/>
    <w:rsid w:val="000A5B32"/>
    <w:rsid w:val="000A5D94"/>
    <w:rsid w:val="000A6EC7"/>
    <w:rsid w:val="000A74DB"/>
    <w:rsid w:val="000A790C"/>
    <w:rsid w:val="000A794A"/>
    <w:rsid w:val="000B091D"/>
    <w:rsid w:val="000B09C6"/>
    <w:rsid w:val="000B23D9"/>
    <w:rsid w:val="000B2505"/>
    <w:rsid w:val="000B37FF"/>
    <w:rsid w:val="000B5118"/>
    <w:rsid w:val="000B55FC"/>
    <w:rsid w:val="000B651D"/>
    <w:rsid w:val="000B71C9"/>
    <w:rsid w:val="000B72B5"/>
    <w:rsid w:val="000C0F8B"/>
    <w:rsid w:val="000C15BC"/>
    <w:rsid w:val="000C181E"/>
    <w:rsid w:val="000C19CB"/>
    <w:rsid w:val="000C1D20"/>
    <w:rsid w:val="000C4BF2"/>
    <w:rsid w:val="000C5052"/>
    <w:rsid w:val="000C580E"/>
    <w:rsid w:val="000C5D8D"/>
    <w:rsid w:val="000C6011"/>
    <w:rsid w:val="000C669C"/>
    <w:rsid w:val="000C6749"/>
    <w:rsid w:val="000C7181"/>
    <w:rsid w:val="000C7FE5"/>
    <w:rsid w:val="000C7FEB"/>
    <w:rsid w:val="000D1DFD"/>
    <w:rsid w:val="000D5198"/>
    <w:rsid w:val="000D5424"/>
    <w:rsid w:val="000D5932"/>
    <w:rsid w:val="000D5F93"/>
    <w:rsid w:val="000D75CB"/>
    <w:rsid w:val="000D791A"/>
    <w:rsid w:val="000D79C2"/>
    <w:rsid w:val="000E0414"/>
    <w:rsid w:val="000E0A5B"/>
    <w:rsid w:val="000E136E"/>
    <w:rsid w:val="000E30A9"/>
    <w:rsid w:val="000E3145"/>
    <w:rsid w:val="000E4E8F"/>
    <w:rsid w:val="000E5305"/>
    <w:rsid w:val="000E58EF"/>
    <w:rsid w:val="000E5ADA"/>
    <w:rsid w:val="000E5C9E"/>
    <w:rsid w:val="000E5D4F"/>
    <w:rsid w:val="000E6E40"/>
    <w:rsid w:val="000E7681"/>
    <w:rsid w:val="000F015D"/>
    <w:rsid w:val="000F09A6"/>
    <w:rsid w:val="000F0D61"/>
    <w:rsid w:val="000F1437"/>
    <w:rsid w:val="000F1697"/>
    <w:rsid w:val="000F1E2A"/>
    <w:rsid w:val="000F1E40"/>
    <w:rsid w:val="000F21E9"/>
    <w:rsid w:val="000F3772"/>
    <w:rsid w:val="000F5D96"/>
    <w:rsid w:val="000F6502"/>
    <w:rsid w:val="000F6643"/>
    <w:rsid w:val="000F68FA"/>
    <w:rsid w:val="000F6C08"/>
    <w:rsid w:val="000F760C"/>
    <w:rsid w:val="001008B9"/>
    <w:rsid w:val="00102647"/>
    <w:rsid w:val="00102A30"/>
    <w:rsid w:val="00102C1A"/>
    <w:rsid w:val="00103ED8"/>
    <w:rsid w:val="00104165"/>
    <w:rsid w:val="00104D71"/>
    <w:rsid w:val="001054D7"/>
    <w:rsid w:val="0010599B"/>
    <w:rsid w:val="00106581"/>
    <w:rsid w:val="00106F4D"/>
    <w:rsid w:val="00107818"/>
    <w:rsid w:val="00110C2E"/>
    <w:rsid w:val="00110F93"/>
    <w:rsid w:val="0011155E"/>
    <w:rsid w:val="001118AC"/>
    <w:rsid w:val="00111BE8"/>
    <w:rsid w:val="00111C42"/>
    <w:rsid w:val="0011237D"/>
    <w:rsid w:val="0011278D"/>
    <w:rsid w:val="00112F64"/>
    <w:rsid w:val="001155D0"/>
    <w:rsid w:val="00116B82"/>
    <w:rsid w:val="00116C51"/>
    <w:rsid w:val="001170B8"/>
    <w:rsid w:val="00117869"/>
    <w:rsid w:val="00117874"/>
    <w:rsid w:val="00117C97"/>
    <w:rsid w:val="001200D5"/>
    <w:rsid w:val="00120CCB"/>
    <w:rsid w:val="00121229"/>
    <w:rsid w:val="001216FB"/>
    <w:rsid w:val="00121C43"/>
    <w:rsid w:val="00121DDA"/>
    <w:rsid w:val="001227E6"/>
    <w:rsid w:val="00123A9D"/>
    <w:rsid w:val="00125504"/>
    <w:rsid w:val="00125E9C"/>
    <w:rsid w:val="001263CE"/>
    <w:rsid w:val="0013064C"/>
    <w:rsid w:val="00131119"/>
    <w:rsid w:val="0013162F"/>
    <w:rsid w:val="00132807"/>
    <w:rsid w:val="00133249"/>
    <w:rsid w:val="0013330B"/>
    <w:rsid w:val="00134177"/>
    <w:rsid w:val="00134409"/>
    <w:rsid w:val="00134BDB"/>
    <w:rsid w:val="00136F90"/>
    <w:rsid w:val="00136FD4"/>
    <w:rsid w:val="0013717C"/>
    <w:rsid w:val="0013747D"/>
    <w:rsid w:val="0013762F"/>
    <w:rsid w:val="00140CFF"/>
    <w:rsid w:val="00140D24"/>
    <w:rsid w:val="00141AF1"/>
    <w:rsid w:val="00141BFD"/>
    <w:rsid w:val="00141DFF"/>
    <w:rsid w:val="00142392"/>
    <w:rsid w:val="001425EF"/>
    <w:rsid w:val="0014290F"/>
    <w:rsid w:val="00142CC2"/>
    <w:rsid w:val="001431EE"/>
    <w:rsid w:val="001433E8"/>
    <w:rsid w:val="00144B7D"/>
    <w:rsid w:val="001467F2"/>
    <w:rsid w:val="00147DD0"/>
    <w:rsid w:val="00147FF1"/>
    <w:rsid w:val="00150D7C"/>
    <w:rsid w:val="001548A4"/>
    <w:rsid w:val="0015547B"/>
    <w:rsid w:val="001561F3"/>
    <w:rsid w:val="001562D8"/>
    <w:rsid w:val="00156685"/>
    <w:rsid w:val="00156ABE"/>
    <w:rsid w:val="00157939"/>
    <w:rsid w:val="0016109E"/>
    <w:rsid w:val="00162230"/>
    <w:rsid w:val="00164843"/>
    <w:rsid w:val="00164D59"/>
    <w:rsid w:val="00166295"/>
    <w:rsid w:val="001663C5"/>
    <w:rsid w:val="00166473"/>
    <w:rsid w:val="00166BB3"/>
    <w:rsid w:val="00166CCD"/>
    <w:rsid w:val="001700D7"/>
    <w:rsid w:val="00170776"/>
    <w:rsid w:val="00170B66"/>
    <w:rsid w:val="001714F9"/>
    <w:rsid w:val="00173960"/>
    <w:rsid w:val="00173A64"/>
    <w:rsid w:val="001744AA"/>
    <w:rsid w:val="0017466B"/>
    <w:rsid w:val="00174743"/>
    <w:rsid w:val="00174BEB"/>
    <w:rsid w:val="00175016"/>
    <w:rsid w:val="0017530D"/>
    <w:rsid w:val="00175D09"/>
    <w:rsid w:val="00176A3B"/>
    <w:rsid w:val="00177B12"/>
    <w:rsid w:val="001812B4"/>
    <w:rsid w:val="001818D4"/>
    <w:rsid w:val="00182F06"/>
    <w:rsid w:val="00184970"/>
    <w:rsid w:val="00184995"/>
    <w:rsid w:val="0018634A"/>
    <w:rsid w:val="00187D91"/>
    <w:rsid w:val="001901C4"/>
    <w:rsid w:val="00190294"/>
    <w:rsid w:val="00190CBD"/>
    <w:rsid w:val="001918F9"/>
    <w:rsid w:val="0019272A"/>
    <w:rsid w:val="001936E4"/>
    <w:rsid w:val="00193D00"/>
    <w:rsid w:val="00194BFF"/>
    <w:rsid w:val="00196108"/>
    <w:rsid w:val="0019649D"/>
    <w:rsid w:val="00196720"/>
    <w:rsid w:val="00196CDE"/>
    <w:rsid w:val="00197202"/>
    <w:rsid w:val="00197EF2"/>
    <w:rsid w:val="001A030A"/>
    <w:rsid w:val="001A0973"/>
    <w:rsid w:val="001A21BB"/>
    <w:rsid w:val="001A2DB8"/>
    <w:rsid w:val="001A3532"/>
    <w:rsid w:val="001A35F3"/>
    <w:rsid w:val="001A45FF"/>
    <w:rsid w:val="001A4757"/>
    <w:rsid w:val="001A4CE8"/>
    <w:rsid w:val="001A571F"/>
    <w:rsid w:val="001A6645"/>
    <w:rsid w:val="001B016D"/>
    <w:rsid w:val="001B0914"/>
    <w:rsid w:val="001B1B8B"/>
    <w:rsid w:val="001B283F"/>
    <w:rsid w:val="001B2A46"/>
    <w:rsid w:val="001B30B9"/>
    <w:rsid w:val="001B3E38"/>
    <w:rsid w:val="001B3ECD"/>
    <w:rsid w:val="001B43E4"/>
    <w:rsid w:val="001B58DB"/>
    <w:rsid w:val="001B59E3"/>
    <w:rsid w:val="001B5D42"/>
    <w:rsid w:val="001B6469"/>
    <w:rsid w:val="001B7774"/>
    <w:rsid w:val="001B7932"/>
    <w:rsid w:val="001B7C64"/>
    <w:rsid w:val="001B7CD7"/>
    <w:rsid w:val="001C0D8D"/>
    <w:rsid w:val="001C19F8"/>
    <w:rsid w:val="001C1AF5"/>
    <w:rsid w:val="001C304A"/>
    <w:rsid w:val="001C4F3B"/>
    <w:rsid w:val="001C666B"/>
    <w:rsid w:val="001C6C9F"/>
    <w:rsid w:val="001C724F"/>
    <w:rsid w:val="001C768E"/>
    <w:rsid w:val="001D0507"/>
    <w:rsid w:val="001D0F5C"/>
    <w:rsid w:val="001D1153"/>
    <w:rsid w:val="001D15A5"/>
    <w:rsid w:val="001D1644"/>
    <w:rsid w:val="001D1948"/>
    <w:rsid w:val="001D1A25"/>
    <w:rsid w:val="001D1FE5"/>
    <w:rsid w:val="001D2502"/>
    <w:rsid w:val="001D3491"/>
    <w:rsid w:val="001D3E17"/>
    <w:rsid w:val="001D53E8"/>
    <w:rsid w:val="001D5F4F"/>
    <w:rsid w:val="001D663F"/>
    <w:rsid w:val="001D6E4B"/>
    <w:rsid w:val="001D72FB"/>
    <w:rsid w:val="001E0AA7"/>
    <w:rsid w:val="001E0E17"/>
    <w:rsid w:val="001E1462"/>
    <w:rsid w:val="001E1DAD"/>
    <w:rsid w:val="001E2CC2"/>
    <w:rsid w:val="001E2EBC"/>
    <w:rsid w:val="001E34E1"/>
    <w:rsid w:val="001E3D4F"/>
    <w:rsid w:val="001E4E8A"/>
    <w:rsid w:val="001E4EE4"/>
    <w:rsid w:val="001E5F3A"/>
    <w:rsid w:val="001E6F3E"/>
    <w:rsid w:val="001E7507"/>
    <w:rsid w:val="001F09C9"/>
    <w:rsid w:val="001F12E7"/>
    <w:rsid w:val="001F12F9"/>
    <w:rsid w:val="001F2EEC"/>
    <w:rsid w:val="001F2F09"/>
    <w:rsid w:val="001F3F4F"/>
    <w:rsid w:val="001F423F"/>
    <w:rsid w:val="001F4ADB"/>
    <w:rsid w:val="001F5422"/>
    <w:rsid w:val="001F5859"/>
    <w:rsid w:val="001F6694"/>
    <w:rsid w:val="001F6791"/>
    <w:rsid w:val="001F6D25"/>
    <w:rsid w:val="001F7601"/>
    <w:rsid w:val="00200FDA"/>
    <w:rsid w:val="00201E48"/>
    <w:rsid w:val="0020207D"/>
    <w:rsid w:val="00202F4D"/>
    <w:rsid w:val="00203BBB"/>
    <w:rsid w:val="002040E6"/>
    <w:rsid w:val="0020477E"/>
    <w:rsid w:val="00204C6B"/>
    <w:rsid w:val="00204EB6"/>
    <w:rsid w:val="002058FB"/>
    <w:rsid w:val="0020711F"/>
    <w:rsid w:val="00207F18"/>
    <w:rsid w:val="002109FA"/>
    <w:rsid w:val="0021143B"/>
    <w:rsid w:val="0021170F"/>
    <w:rsid w:val="0021278B"/>
    <w:rsid w:val="00213068"/>
    <w:rsid w:val="00213238"/>
    <w:rsid w:val="002134A9"/>
    <w:rsid w:val="00213ABD"/>
    <w:rsid w:val="00213C6E"/>
    <w:rsid w:val="00214DEC"/>
    <w:rsid w:val="00215920"/>
    <w:rsid w:val="002175F3"/>
    <w:rsid w:val="002209CA"/>
    <w:rsid w:val="00222B2A"/>
    <w:rsid w:val="00222E9C"/>
    <w:rsid w:val="00223A57"/>
    <w:rsid w:val="00223E37"/>
    <w:rsid w:val="002248B0"/>
    <w:rsid w:val="002312AA"/>
    <w:rsid w:val="00231BEF"/>
    <w:rsid w:val="00231D17"/>
    <w:rsid w:val="00233A21"/>
    <w:rsid w:val="00233DF7"/>
    <w:rsid w:val="00234548"/>
    <w:rsid w:val="002347CC"/>
    <w:rsid w:val="002355F1"/>
    <w:rsid w:val="00235653"/>
    <w:rsid w:val="00236513"/>
    <w:rsid w:val="0023741A"/>
    <w:rsid w:val="00240ABC"/>
    <w:rsid w:val="00240F15"/>
    <w:rsid w:val="00242382"/>
    <w:rsid w:val="00242497"/>
    <w:rsid w:val="00242555"/>
    <w:rsid w:val="0024288F"/>
    <w:rsid w:val="0024452E"/>
    <w:rsid w:val="002458E9"/>
    <w:rsid w:val="00245AF0"/>
    <w:rsid w:val="00246FD0"/>
    <w:rsid w:val="00247502"/>
    <w:rsid w:val="00247808"/>
    <w:rsid w:val="0025002C"/>
    <w:rsid w:val="00250E97"/>
    <w:rsid w:val="00250FCB"/>
    <w:rsid w:val="00252B26"/>
    <w:rsid w:val="002533B9"/>
    <w:rsid w:val="002539A8"/>
    <w:rsid w:val="00255B78"/>
    <w:rsid w:val="00256275"/>
    <w:rsid w:val="002577A9"/>
    <w:rsid w:val="002601E0"/>
    <w:rsid w:val="002604E6"/>
    <w:rsid w:val="002624ED"/>
    <w:rsid w:val="00262B5D"/>
    <w:rsid w:val="002633AC"/>
    <w:rsid w:val="0026360C"/>
    <w:rsid w:val="00265C7A"/>
    <w:rsid w:val="00266503"/>
    <w:rsid w:val="002672AD"/>
    <w:rsid w:val="002675EA"/>
    <w:rsid w:val="00270056"/>
    <w:rsid w:val="002700F9"/>
    <w:rsid w:val="0027154E"/>
    <w:rsid w:val="00271A1C"/>
    <w:rsid w:val="00271A23"/>
    <w:rsid w:val="00274704"/>
    <w:rsid w:val="0027533C"/>
    <w:rsid w:val="00275EBC"/>
    <w:rsid w:val="002764DD"/>
    <w:rsid w:val="002767AB"/>
    <w:rsid w:val="00276ADE"/>
    <w:rsid w:val="00276C24"/>
    <w:rsid w:val="00276DFB"/>
    <w:rsid w:val="00277E35"/>
    <w:rsid w:val="00277EF9"/>
    <w:rsid w:val="00280741"/>
    <w:rsid w:val="00280B9A"/>
    <w:rsid w:val="0028195D"/>
    <w:rsid w:val="00282512"/>
    <w:rsid w:val="002828CF"/>
    <w:rsid w:val="00282AA9"/>
    <w:rsid w:val="00283224"/>
    <w:rsid w:val="00283979"/>
    <w:rsid w:val="0028449B"/>
    <w:rsid w:val="00284F9E"/>
    <w:rsid w:val="0028517E"/>
    <w:rsid w:val="00287174"/>
    <w:rsid w:val="00290239"/>
    <w:rsid w:val="00292C9C"/>
    <w:rsid w:val="00293B95"/>
    <w:rsid w:val="002941BE"/>
    <w:rsid w:val="0029669D"/>
    <w:rsid w:val="002A0834"/>
    <w:rsid w:val="002A0BE3"/>
    <w:rsid w:val="002A0F9A"/>
    <w:rsid w:val="002A1464"/>
    <w:rsid w:val="002A1ADD"/>
    <w:rsid w:val="002A4215"/>
    <w:rsid w:val="002A5AC5"/>
    <w:rsid w:val="002A6648"/>
    <w:rsid w:val="002A7362"/>
    <w:rsid w:val="002A7548"/>
    <w:rsid w:val="002A759A"/>
    <w:rsid w:val="002B0E40"/>
    <w:rsid w:val="002B1116"/>
    <w:rsid w:val="002B1759"/>
    <w:rsid w:val="002B3A1A"/>
    <w:rsid w:val="002B4D84"/>
    <w:rsid w:val="002B4E27"/>
    <w:rsid w:val="002B4E86"/>
    <w:rsid w:val="002B5132"/>
    <w:rsid w:val="002B5D4C"/>
    <w:rsid w:val="002C03C9"/>
    <w:rsid w:val="002C07CD"/>
    <w:rsid w:val="002C15DB"/>
    <w:rsid w:val="002C1E36"/>
    <w:rsid w:val="002C1FAD"/>
    <w:rsid w:val="002C20F0"/>
    <w:rsid w:val="002C3A18"/>
    <w:rsid w:val="002C6A71"/>
    <w:rsid w:val="002C70A6"/>
    <w:rsid w:val="002C7886"/>
    <w:rsid w:val="002C7F8B"/>
    <w:rsid w:val="002D0854"/>
    <w:rsid w:val="002D085E"/>
    <w:rsid w:val="002D0A4F"/>
    <w:rsid w:val="002D20D3"/>
    <w:rsid w:val="002D218C"/>
    <w:rsid w:val="002D363C"/>
    <w:rsid w:val="002D3820"/>
    <w:rsid w:val="002D4F84"/>
    <w:rsid w:val="002D52FF"/>
    <w:rsid w:val="002D6377"/>
    <w:rsid w:val="002D6607"/>
    <w:rsid w:val="002D6678"/>
    <w:rsid w:val="002D6A79"/>
    <w:rsid w:val="002D6C3F"/>
    <w:rsid w:val="002D6C4A"/>
    <w:rsid w:val="002D7397"/>
    <w:rsid w:val="002D7BBF"/>
    <w:rsid w:val="002E031A"/>
    <w:rsid w:val="002E1742"/>
    <w:rsid w:val="002E2A7A"/>
    <w:rsid w:val="002E4589"/>
    <w:rsid w:val="002E45C0"/>
    <w:rsid w:val="002E4FA6"/>
    <w:rsid w:val="002E65FF"/>
    <w:rsid w:val="002E6630"/>
    <w:rsid w:val="002E6E0F"/>
    <w:rsid w:val="002E70DA"/>
    <w:rsid w:val="002E7725"/>
    <w:rsid w:val="002E7C1F"/>
    <w:rsid w:val="002F0249"/>
    <w:rsid w:val="002F05D8"/>
    <w:rsid w:val="002F18CB"/>
    <w:rsid w:val="002F2FDB"/>
    <w:rsid w:val="002F3AA8"/>
    <w:rsid w:val="002F3CE5"/>
    <w:rsid w:val="002F50AF"/>
    <w:rsid w:val="002F78C0"/>
    <w:rsid w:val="002F7E6A"/>
    <w:rsid w:val="003002F3"/>
    <w:rsid w:val="00300BDF"/>
    <w:rsid w:val="00300DF9"/>
    <w:rsid w:val="0030334F"/>
    <w:rsid w:val="00304284"/>
    <w:rsid w:val="003045BD"/>
    <w:rsid w:val="00305C31"/>
    <w:rsid w:val="00305F04"/>
    <w:rsid w:val="00307547"/>
    <w:rsid w:val="003075BC"/>
    <w:rsid w:val="00310196"/>
    <w:rsid w:val="0031196B"/>
    <w:rsid w:val="00311F86"/>
    <w:rsid w:val="00312CE6"/>
    <w:rsid w:val="00313886"/>
    <w:rsid w:val="00313982"/>
    <w:rsid w:val="00314032"/>
    <w:rsid w:val="0031593A"/>
    <w:rsid w:val="00315D31"/>
    <w:rsid w:val="003160FF"/>
    <w:rsid w:val="003163E3"/>
    <w:rsid w:val="003166EC"/>
    <w:rsid w:val="0031708E"/>
    <w:rsid w:val="0031747E"/>
    <w:rsid w:val="0031794E"/>
    <w:rsid w:val="00317BBE"/>
    <w:rsid w:val="003213C1"/>
    <w:rsid w:val="00321944"/>
    <w:rsid w:val="00324184"/>
    <w:rsid w:val="00324850"/>
    <w:rsid w:val="003250B2"/>
    <w:rsid w:val="003255FC"/>
    <w:rsid w:val="00325A3D"/>
    <w:rsid w:val="00325DC4"/>
    <w:rsid w:val="00325E86"/>
    <w:rsid w:val="00326254"/>
    <w:rsid w:val="00326C9D"/>
    <w:rsid w:val="00326FED"/>
    <w:rsid w:val="00327266"/>
    <w:rsid w:val="00327A9A"/>
    <w:rsid w:val="003311E9"/>
    <w:rsid w:val="00331CAB"/>
    <w:rsid w:val="003324A7"/>
    <w:rsid w:val="00332EC3"/>
    <w:rsid w:val="0033303E"/>
    <w:rsid w:val="003344F7"/>
    <w:rsid w:val="00334977"/>
    <w:rsid w:val="00335AFB"/>
    <w:rsid w:val="0033692D"/>
    <w:rsid w:val="00340114"/>
    <w:rsid w:val="00340291"/>
    <w:rsid w:val="00340B1A"/>
    <w:rsid w:val="00342A6F"/>
    <w:rsid w:val="00342DAA"/>
    <w:rsid w:val="003433DA"/>
    <w:rsid w:val="00343C7F"/>
    <w:rsid w:val="00345302"/>
    <w:rsid w:val="003456C7"/>
    <w:rsid w:val="00345849"/>
    <w:rsid w:val="00345D0E"/>
    <w:rsid w:val="00346DE9"/>
    <w:rsid w:val="00347C83"/>
    <w:rsid w:val="00350A77"/>
    <w:rsid w:val="00351079"/>
    <w:rsid w:val="00352A57"/>
    <w:rsid w:val="00352F81"/>
    <w:rsid w:val="0035483B"/>
    <w:rsid w:val="00354CCC"/>
    <w:rsid w:val="0035653C"/>
    <w:rsid w:val="0036024B"/>
    <w:rsid w:val="00360B12"/>
    <w:rsid w:val="00360FD1"/>
    <w:rsid w:val="003617AD"/>
    <w:rsid w:val="003619CC"/>
    <w:rsid w:val="00362912"/>
    <w:rsid w:val="0036335F"/>
    <w:rsid w:val="00363DA5"/>
    <w:rsid w:val="00364CB5"/>
    <w:rsid w:val="00366A4F"/>
    <w:rsid w:val="00366BE7"/>
    <w:rsid w:val="003674ED"/>
    <w:rsid w:val="00367642"/>
    <w:rsid w:val="00370170"/>
    <w:rsid w:val="0037029E"/>
    <w:rsid w:val="00370A4E"/>
    <w:rsid w:val="00370E6E"/>
    <w:rsid w:val="00371A22"/>
    <w:rsid w:val="0037372C"/>
    <w:rsid w:val="00373988"/>
    <w:rsid w:val="00373F14"/>
    <w:rsid w:val="003740EC"/>
    <w:rsid w:val="003745ED"/>
    <w:rsid w:val="003748CC"/>
    <w:rsid w:val="00375BD1"/>
    <w:rsid w:val="00375F71"/>
    <w:rsid w:val="003762D9"/>
    <w:rsid w:val="00376430"/>
    <w:rsid w:val="0038075D"/>
    <w:rsid w:val="00380BBE"/>
    <w:rsid w:val="00381363"/>
    <w:rsid w:val="003822C1"/>
    <w:rsid w:val="0038247A"/>
    <w:rsid w:val="00383189"/>
    <w:rsid w:val="00383B00"/>
    <w:rsid w:val="00384D34"/>
    <w:rsid w:val="0038578F"/>
    <w:rsid w:val="00385A4D"/>
    <w:rsid w:val="00385B12"/>
    <w:rsid w:val="0038669C"/>
    <w:rsid w:val="00386C64"/>
    <w:rsid w:val="003878F4"/>
    <w:rsid w:val="003919FF"/>
    <w:rsid w:val="00391F6D"/>
    <w:rsid w:val="0039376C"/>
    <w:rsid w:val="003A03E0"/>
    <w:rsid w:val="003A119D"/>
    <w:rsid w:val="003A19D8"/>
    <w:rsid w:val="003A1B5D"/>
    <w:rsid w:val="003A1FCE"/>
    <w:rsid w:val="003A2AFE"/>
    <w:rsid w:val="003A4AA9"/>
    <w:rsid w:val="003A4EC6"/>
    <w:rsid w:val="003A4FE1"/>
    <w:rsid w:val="003A684F"/>
    <w:rsid w:val="003A7501"/>
    <w:rsid w:val="003A7636"/>
    <w:rsid w:val="003B2797"/>
    <w:rsid w:val="003B279B"/>
    <w:rsid w:val="003B4A06"/>
    <w:rsid w:val="003B6482"/>
    <w:rsid w:val="003B6A69"/>
    <w:rsid w:val="003B7989"/>
    <w:rsid w:val="003C104C"/>
    <w:rsid w:val="003C1BCC"/>
    <w:rsid w:val="003C3519"/>
    <w:rsid w:val="003C4029"/>
    <w:rsid w:val="003C4B4E"/>
    <w:rsid w:val="003C5180"/>
    <w:rsid w:val="003C6359"/>
    <w:rsid w:val="003C7082"/>
    <w:rsid w:val="003C72E2"/>
    <w:rsid w:val="003C7A91"/>
    <w:rsid w:val="003D04DE"/>
    <w:rsid w:val="003D108D"/>
    <w:rsid w:val="003D1182"/>
    <w:rsid w:val="003D14A8"/>
    <w:rsid w:val="003D1CB0"/>
    <w:rsid w:val="003D2470"/>
    <w:rsid w:val="003D2DF5"/>
    <w:rsid w:val="003D3830"/>
    <w:rsid w:val="003D413D"/>
    <w:rsid w:val="003D4FBE"/>
    <w:rsid w:val="003D7536"/>
    <w:rsid w:val="003E06C6"/>
    <w:rsid w:val="003E071D"/>
    <w:rsid w:val="003E3101"/>
    <w:rsid w:val="003E31A7"/>
    <w:rsid w:val="003E3A0C"/>
    <w:rsid w:val="003E4589"/>
    <w:rsid w:val="003E5234"/>
    <w:rsid w:val="003E5442"/>
    <w:rsid w:val="003E6535"/>
    <w:rsid w:val="003F015D"/>
    <w:rsid w:val="003F034E"/>
    <w:rsid w:val="003F116E"/>
    <w:rsid w:val="003F1928"/>
    <w:rsid w:val="003F242A"/>
    <w:rsid w:val="003F28EE"/>
    <w:rsid w:val="003F2C89"/>
    <w:rsid w:val="003F3B7E"/>
    <w:rsid w:val="003F466F"/>
    <w:rsid w:val="003F6002"/>
    <w:rsid w:val="003F6508"/>
    <w:rsid w:val="003F658F"/>
    <w:rsid w:val="003F756B"/>
    <w:rsid w:val="00401D83"/>
    <w:rsid w:val="00403546"/>
    <w:rsid w:val="00403740"/>
    <w:rsid w:val="00405FD6"/>
    <w:rsid w:val="00406A04"/>
    <w:rsid w:val="004071EF"/>
    <w:rsid w:val="0040730F"/>
    <w:rsid w:val="00407702"/>
    <w:rsid w:val="00407E2C"/>
    <w:rsid w:val="00410EFB"/>
    <w:rsid w:val="00410F52"/>
    <w:rsid w:val="00412374"/>
    <w:rsid w:val="00412FB7"/>
    <w:rsid w:val="00413CCF"/>
    <w:rsid w:val="00414450"/>
    <w:rsid w:val="004146B1"/>
    <w:rsid w:val="004146CE"/>
    <w:rsid w:val="00414B53"/>
    <w:rsid w:val="0041588A"/>
    <w:rsid w:val="0041721A"/>
    <w:rsid w:val="00417245"/>
    <w:rsid w:val="00417840"/>
    <w:rsid w:val="00421335"/>
    <w:rsid w:val="00423F8C"/>
    <w:rsid w:val="004247AC"/>
    <w:rsid w:val="0042546F"/>
    <w:rsid w:val="004257A7"/>
    <w:rsid w:val="004271D4"/>
    <w:rsid w:val="00427512"/>
    <w:rsid w:val="0042760A"/>
    <w:rsid w:val="00427BBE"/>
    <w:rsid w:val="00430894"/>
    <w:rsid w:val="00432365"/>
    <w:rsid w:val="00432FEB"/>
    <w:rsid w:val="00433AE9"/>
    <w:rsid w:val="004341D1"/>
    <w:rsid w:val="00434D3B"/>
    <w:rsid w:val="00435614"/>
    <w:rsid w:val="00437928"/>
    <w:rsid w:val="00437A65"/>
    <w:rsid w:val="00437E28"/>
    <w:rsid w:val="00440111"/>
    <w:rsid w:val="00440196"/>
    <w:rsid w:val="0044110F"/>
    <w:rsid w:val="00441FA0"/>
    <w:rsid w:val="00442699"/>
    <w:rsid w:val="00443337"/>
    <w:rsid w:val="00443511"/>
    <w:rsid w:val="004437D5"/>
    <w:rsid w:val="00443D00"/>
    <w:rsid w:val="00444851"/>
    <w:rsid w:val="00444EA0"/>
    <w:rsid w:val="00445A98"/>
    <w:rsid w:val="004467AB"/>
    <w:rsid w:val="00446D06"/>
    <w:rsid w:val="00446F26"/>
    <w:rsid w:val="0044755B"/>
    <w:rsid w:val="00447817"/>
    <w:rsid w:val="00447BE5"/>
    <w:rsid w:val="00450875"/>
    <w:rsid w:val="0045097B"/>
    <w:rsid w:val="00450AE5"/>
    <w:rsid w:val="00451785"/>
    <w:rsid w:val="004527A7"/>
    <w:rsid w:val="00452F7E"/>
    <w:rsid w:val="00453302"/>
    <w:rsid w:val="00454026"/>
    <w:rsid w:val="00455835"/>
    <w:rsid w:val="00455A1E"/>
    <w:rsid w:val="00455C0D"/>
    <w:rsid w:val="00455D9A"/>
    <w:rsid w:val="00456524"/>
    <w:rsid w:val="0045686C"/>
    <w:rsid w:val="00457E1F"/>
    <w:rsid w:val="00457E58"/>
    <w:rsid w:val="0046266F"/>
    <w:rsid w:val="00462A0D"/>
    <w:rsid w:val="00463283"/>
    <w:rsid w:val="00463545"/>
    <w:rsid w:val="004635D3"/>
    <w:rsid w:val="0046387C"/>
    <w:rsid w:val="004643DC"/>
    <w:rsid w:val="004644EA"/>
    <w:rsid w:val="00464DFF"/>
    <w:rsid w:val="004666A5"/>
    <w:rsid w:val="004669B3"/>
    <w:rsid w:val="00466FD6"/>
    <w:rsid w:val="00467253"/>
    <w:rsid w:val="00467B57"/>
    <w:rsid w:val="00471DD0"/>
    <w:rsid w:val="00471F64"/>
    <w:rsid w:val="00472673"/>
    <w:rsid w:val="00472A3B"/>
    <w:rsid w:val="00473514"/>
    <w:rsid w:val="00476879"/>
    <w:rsid w:val="00476DC9"/>
    <w:rsid w:val="00477D33"/>
    <w:rsid w:val="00477EF8"/>
    <w:rsid w:val="00481EF7"/>
    <w:rsid w:val="00482038"/>
    <w:rsid w:val="00482274"/>
    <w:rsid w:val="0048277A"/>
    <w:rsid w:val="00483CD0"/>
    <w:rsid w:val="0048449D"/>
    <w:rsid w:val="0048528E"/>
    <w:rsid w:val="0048784B"/>
    <w:rsid w:val="00487C97"/>
    <w:rsid w:val="00490B8B"/>
    <w:rsid w:val="00491B68"/>
    <w:rsid w:val="004922C5"/>
    <w:rsid w:val="004924D2"/>
    <w:rsid w:val="00493C78"/>
    <w:rsid w:val="00494316"/>
    <w:rsid w:val="004968D6"/>
    <w:rsid w:val="00496C28"/>
    <w:rsid w:val="00496D5D"/>
    <w:rsid w:val="004A0DC8"/>
    <w:rsid w:val="004A1BD2"/>
    <w:rsid w:val="004A1D14"/>
    <w:rsid w:val="004A2151"/>
    <w:rsid w:val="004A281B"/>
    <w:rsid w:val="004A28BF"/>
    <w:rsid w:val="004A2AE4"/>
    <w:rsid w:val="004A3421"/>
    <w:rsid w:val="004A4C6E"/>
    <w:rsid w:val="004A4E56"/>
    <w:rsid w:val="004A612A"/>
    <w:rsid w:val="004A62D3"/>
    <w:rsid w:val="004A69DA"/>
    <w:rsid w:val="004A71A6"/>
    <w:rsid w:val="004A77B7"/>
    <w:rsid w:val="004B0070"/>
    <w:rsid w:val="004B0499"/>
    <w:rsid w:val="004B1DEF"/>
    <w:rsid w:val="004B2079"/>
    <w:rsid w:val="004B29AE"/>
    <w:rsid w:val="004B2EEE"/>
    <w:rsid w:val="004B2F4D"/>
    <w:rsid w:val="004B3A24"/>
    <w:rsid w:val="004B3E6F"/>
    <w:rsid w:val="004B4375"/>
    <w:rsid w:val="004B64A9"/>
    <w:rsid w:val="004B700C"/>
    <w:rsid w:val="004B707D"/>
    <w:rsid w:val="004B7835"/>
    <w:rsid w:val="004C0B68"/>
    <w:rsid w:val="004C2084"/>
    <w:rsid w:val="004C22CA"/>
    <w:rsid w:val="004C234B"/>
    <w:rsid w:val="004C275D"/>
    <w:rsid w:val="004C2A4F"/>
    <w:rsid w:val="004C412A"/>
    <w:rsid w:val="004C531E"/>
    <w:rsid w:val="004C60C5"/>
    <w:rsid w:val="004C7267"/>
    <w:rsid w:val="004C7B16"/>
    <w:rsid w:val="004D1481"/>
    <w:rsid w:val="004D2363"/>
    <w:rsid w:val="004D2FD6"/>
    <w:rsid w:val="004D3BB3"/>
    <w:rsid w:val="004D4A6F"/>
    <w:rsid w:val="004D4CE2"/>
    <w:rsid w:val="004D5084"/>
    <w:rsid w:val="004D6ED2"/>
    <w:rsid w:val="004D6F4C"/>
    <w:rsid w:val="004D7234"/>
    <w:rsid w:val="004D7D79"/>
    <w:rsid w:val="004E009C"/>
    <w:rsid w:val="004E012A"/>
    <w:rsid w:val="004E203D"/>
    <w:rsid w:val="004E2831"/>
    <w:rsid w:val="004E4D8B"/>
    <w:rsid w:val="004E5422"/>
    <w:rsid w:val="004E64DF"/>
    <w:rsid w:val="004E7239"/>
    <w:rsid w:val="004F0327"/>
    <w:rsid w:val="004F08A6"/>
    <w:rsid w:val="004F2FEE"/>
    <w:rsid w:val="004F42AC"/>
    <w:rsid w:val="004F5340"/>
    <w:rsid w:val="004F6271"/>
    <w:rsid w:val="00500796"/>
    <w:rsid w:val="00501591"/>
    <w:rsid w:val="00502157"/>
    <w:rsid w:val="00502770"/>
    <w:rsid w:val="005032CA"/>
    <w:rsid w:val="00503CA1"/>
    <w:rsid w:val="00504FC6"/>
    <w:rsid w:val="00505CC9"/>
    <w:rsid w:val="00506778"/>
    <w:rsid w:val="00507C5D"/>
    <w:rsid w:val="00510229"/>
    <w:rsid w:val="0051062E"/>
    <w:rsid w:val="0051115E"/>
    <w:rsid w:val="0051166C"/>
    <w:rsid w:val="00513659"/>
    <w:rsid w:val="00513D2A"/>
    <w:rsid w:val="00516CCD"/>
    <w:rsid w:val="00516F0D"/>
    <w:rsid w:val="00517965"/>
    <w:rsid w:val="0052050C"/>
    <w:rsid w:val="005208E6"/>
    <w:rsid w:val="0052138D"/>
    <w:rsid w:val="00522693"/>
    <w:rsid w:val="00524969"/>
    <w:rsid w:val="00525AA3"/>
    <w:rsid w:val="0052610A"/>
    <w:rsid w:val="00527D54"/>
    <w:rsid w:val="005301BB"/>
    <w:rsid w:val="005303E5"/>
    <w:rsid w:val="005306A6"/>
    <w:rsid w:val="00530CFA"/>
    <w:rsid w:val="00532256"/>
    <w:rsid w:val="00533996"/>
    <w:rsid w:val="00533CC9"/>
    <w:rsid w:val="0053432F"/>
    <w:rsid w:val="005353B4"/>
    <w:rsid w:val="00537CA0"/>
    <w:rsid w:val="005404BE"/>
    <w:rsid w:val="00541CC1"/>
    <w:rsid w:val="00542277"/>
    <w:rsid w:val="0054281F"/>
    <w:rsid w:val="0054289F"/>
    <w:rsid w:val="005440C0"/>
    <w:rsid w:val="005446BD"/>
    <w:rsid w:val="00544EFD"/>
    <w:rsid w:val="005464A5"/>
    <w:rsid w:val="00546AFE"/>
    <w:rsid w:val="00547925"/>
    <w:rsid w:val="00550BE7"/>
    <w:rsid w:val="00550CAF"/>
    <w:rsid w:val="00550CB0"/>
    <w:rsid w:val="00551613"/>
    <w:rsid w:val="00554433"/>
    <w:rsid w:val="005551DF"/>
    <w:rsid w:val="00556FFE"/>
    <w:rsid w:val="0055708A"/>
    <w:rsid w:val="005601A7"/>
    <w:rsid w:val="005607D5"/>
    <w:rsid w:val="0056199B"/>
    <w:rsid w:val="00561E21"/>
    <w:rsid w:val="0056271A"/>
    <w:rsid w:val="00565DBC"/>
    <w:rsid w:val="005669AE"/>
    <w:rsid w:val="00567D0D"/>
    <w:rsid w:val="00567D42"/>
    <w:rsid w:val="0057052A"/>
    <w:rsid w:val="00570741"/>
    <w:rsid w:val="005709AF"/>
    <w:rsid w:val="00570BC4"/>
    <w:rsid w:val="005717F8"/>
    <w:rsid w:val="00573C76"/>
    <w:rsid w:val="005762E6"/>
    <w:rsid w:val="00577056"/>
    <w:rsid w:val="005770DC"/>
    <w:rsid w:val="00581180"/>
    <w:rsid w:val="005818A0"/>
    <w:rsid w:val="00582E06"/>
    <w:rsid w:val="00583042"/>
    <w:rsid w:val="005830DA"/>
    <w:rsid w:val="00584957"/>
    <w:rsid w:val="00584BDE"/>
    <w:rsid w:val="00585899"/>
    <w:rsid w:val="00585BC3"/>
    <w:rsid w:val="00587078"/>
    <w:rsid w:val="005873C4"/>
    <w:rsid w:val="00587A4C"/>
    <w:rsid w:val="00587E26"/>
    <w:rsid w:val="005905D1"/>
    <w:rsid w:val="00590904"/>
    <w:rsid w:val="0059099C"/>
    <w:rsid w:val="00590CDF"/>
    <w:rsid w:val="0059276E"/>
    <w:rsid w:val="00592E20"/>
    <w:rsid w:val="005932D1"/>
    <w:rsid w:val="00593325"/>
    <w:rsid w:val="0059343C"/>
    <w:rsid w:val="0059343D"/>
    <w:rsid w:val="005937C6"/>
    <w:rsid w:val="0059459D"/>
    <w:rsid w:val="00596C21"/>
    <w:rsid w:val="005970FA"/>
    <w:rsid w:val="005A0E00"/>
    <w:rsid w:val="005A31AB"/>
    <w:rsid w:val="005A31CA"/>
    <w:rsid w:val="005A3453"/>
    <w:rsid w:val="005A4B24"/>
    <w:rsid w:val="005A6215"/>
    <w:rsid w:val="005A665D"/>
    <w:rsid w:val="005A6D03"/>
    <w:rsid w:val="005A7C89"/>
    <w:rsid w:val="005B1EAA"/>
    <w:rsid w:val="005B3D9F"/>
    <w:rsid w:val="005B4728"/>
    <w:rsid w:val="005B55FC"/>
    <w:rsid w:val="005B63CF"/>
    <w:rsid w:val="005B660A"/>
    <w:rsid w:val="005B6A4A"/>
    <w:rsid w:val="005B743C"/>
    <w:rsid w:val="005C025F"/>
    <w:rsid w:val="005C15AD"/>
    <w:rsid w:val="005C2730"/>
    <w:rsid w:val="005C4772"/>
    <w:rsid w:val="005C48F1"/>
    <w:rsid w:val="005C4B11"/>
    <w:rsid w:val="005C52D1"/>
    <w:rsid w:val="005C5BBD"/>
    <w:rsid w:val="005C60CF"/>
    <w:rsid w:val="005C6854"/>
    <w:rsid w:val="005C697E"/>
    <w:rsid w:val="005C7E4D"/>
    <w:rsid w:val="005C7F0E"/>
    <w:rsid w:val="005D04F6"/>
    <w:rsid w:val="005D09D4"/>
    <w:rsid w:val="005D0FBA"/>
    <w:rsid w:val="005D515C"/>
    <w:rsid w:val="005D5906"/>
    <w:rsid w:val="005D5F1D"/>
    <w:rsid w:val="005D6052"/>
    <w:rsid w:val="005D6AC2"/>
    <w:rsid w:val="005D7212"/>
    <w:rsid w:val="005D7554"/>
    <w:rsid w:val="005D766D"/>
    <w:rsid w:val="005E01AF"/>
    <w:rsid w:val="005E1065"/>
    <w:rsid w:val="005E55C7"/>
    <w:rsid w:val="005E5EC3"/>
    <w:rsid w:val="005E631F"/>
    <w:rsid w:val="005F0E35"/>
    <w:rsid w:val="005F19E8"/>
    <w:rsid w:val="005F395A"/>
    <w:rsid w:val="005F426E"/>
    <w:rsid w:val="005F70AC"/>
    <w:rsid w:val="00601144"/>
    <w:rsid w:val="00601D76"/>
    <w:rsid w:val="006027D9"/>
    <w:rsid w:val="00604462"/>
    <w:rsid w:val="00604959"/>
    <w:rsid w:val="00604FFD"/>
    <w:rsid w:val="00605105"/>
    <w:rsid w:val="00605123"/>
    <w:rsid w:val="00605301"/>
    <w:rsid w:val="00606E07"/>
    <w:rsid w:val="006078FF"/>
    <w:rsid w:val="00607F1A"/>
    <w:rsid w:val="006102C1"/>
    <w:rsid w:val="00610EB8"/>
    <w:rsid w:val="0061196E"/>
    <w:rsid w:val="006121D4"/>
    <w:rsid w:val="006136F2"/>
    <w:rsid w:val="00613C88"/>
    <w:rsid w:val="00613FF4"/>
    <w:rsid w:val="00614256"/>
    <w:rsid w:val="00615EB5"/>
    <w:rsid w:val="006168BF"/>
    <w:rsid w:val="006175EE"/>
    <w:rsid w:val="006177B6"/>
    <w:rsid w:val="00620370"/>
    <w:rsid w:val="00621F8F"/>
    <w:rsid w:val="00622413"/>
    <w:rsid w:val="00622ADB"/>
    <w:rsid w:val="00622D89"/>
    <w:rsid w:val="00623577"/>
    <w:rsid w:val="006236D7"/>
    <w:rsid w:val="0062439D"/>
    <w:rsid w:val="00624EBC"/>
    <w:rsid w:val="00625964"/>
    <w:rsid w:val="006260D4"/>
    <w:rsid w:val="00627877"/>
    <w:rsid w:val="006278FD"/>
    <w:rsid w:val="00627F1E"/>
    <w:rsid w:val="006302F2"/>
    <w:rsid w:val="006306DE"/>
    <w:rsid w:val="00630B9F"/>
    <w:rsid w:val="00630C4E"/>
    <w:rsid w:val="00631544"/>
    <w:rsid w:val="00631A86"/>
    <w:rsid w:val="006334AC"/>
    <w:rsid w:val="006341B2"/>
    <w:rsid w:val="006344EE"/>
    <w:rsid w:val="00634EFB"/>
    <w:rsid w:val="00634F30"/>
    <w:rsid w:val="00635156"/>
    <w:rsid w:val="00635D2D"/>
    <w:rsid w:val="00636698"/>
    <w:rsid w:val="006371F9"/>
    <w:rsid w:val="006378FE"/>
    <w:rsid w:val="00637B72"/>
    <w:rsid w:val="00637B9A"/>
    <w:rsid w:val="0064058F"/>
    <w:rsid w:val="006408ED"/>
    <w:rsid w:val="00641622"/>
    <w:rsid w:val="006418C0"/>
    <w:rsid w:val="00642417"/>
    <w:rsid w:val="00643F2C"/>
    <w:rsid w:val="0064447D"/>
    <w:rsid w:val="00645076"/>
    <w:rsid w:val="00646C59"/>
    <w:rsid w:val="00652487"/>
    <w:rsid w:val="00653580"/>
    <w:rsid w:val="00654616"/>
    <w:rsid w:val="00656E2A"/>
    <w:rsid w:val="00656F0B"/>
    <w:rsid w:val="0065726C"/>
    <w:rsid w:val="00657941"/>
    <w:rsid w:val="00657E9A"/>
    <w:rsid w:val="00661254"/>
    <w:rsid w:val="006629D9"/>
    <w:rsid w:val="006638CF"/>
    <w:rsid w:val="006638E9"/>
    <w:rsid w:val="00664A00"/>
    <w:rsid w:val="006651FF"/>
    <w:rsid w:val="00666184"/>
    <w:rsid w:val="00666468"/>
    <w:rsid w:val="0066796A"/>
    <w:rsid w:val="00670441"/>
    <w:rsid w:val="00671420"/>
    <w:rsid w:val="00671655"/>
    <w:rsid w:val="00671C2C"/>
    <w:rsid w:val="00671E8E"/>
    <w:rsid w:val="00672168"/>
    <w:rsid w:val="00674FCC"/>
    <w:rsid w:val="0067556D"/>
    <w:rsid w:val="00676C18"/>
    <w:rsid w:val="006779F0"/>
    <w:rsid w:val="00681654"/>
    <w:rsid w:val="0068171E"/>
    <w:rsid w:val="00681784"/>
    <w:rsid w:val="00682144"/>
    <w:rsid w:val="006856B6"/>
    <w:rsid w:val="006862B6"/>
    <w:rsid w:val="0068653F"/>
    <w:rsid w:val="00686713"/>
    <w:rsid w:val="00686E2E"/>
    <w:rsid w:val="00687D49"/>
    <w:rsid w:val="0069162F"/>
    <w:rsid w:val="00691D0F"/>
    <w:rsid w:val="00692499"/>
    <w:rsid w:val="00693CAC"/>
    <w:rsid w:val="00694B00"/>
    <w:rsid w:val="0069540B"/>
    <w:rsid w:val="006957E2"/>
    <w:rsid w:val="006A05AF"/>
    <w:rsid w:val="006A0AA1"/>
    <w:rsid w:val="006A1723"/>
    <w:rsid w:val="006A221A"/>
    <w:rsid w:val="006A28A1"/>
    <w:rsid w:val="006A4015"/>
    <w:rsid w:val="006A4B21"/>
    <w:rsid w:val="006A4C80"/>
    <w:rsid w:val="006A4E0D"/>
    <w:rsid w:val="006A6276"/>
    <w:rsid w:val="006A68B4"/>
    <w:rsid w:val="006A6DB6"/>
    <w:rsid w:val="006A74A8"/>
    <w:rsid w:val="006A7D98"/>
    <w:rsid w:val="006A7DBD"/>
    <w:rsid w:val="006A7E18"/>
    <w:rsid w:val="006B1899"/>
    <w:rsid w:val="006B2B33"/>
    <w:rsid w:val="006B42CA"/>
    <w:rsid w:val="006B4FC4"/>
    <w:rsid w:val="006B5048"/>
    <w:rsid w:val="006B5051"/>
    <w:rsid w:val="006B5E12"/>
    <w:rsid w:val="006B68B2"/>
    <w:rsid w:val="006B6B6B"/>
    <w:rsid w:val="006C0EE9"/>
    <w:rsid w:val="006C187A"/>
    <w:rsid w:val="006C18D8"/>
    <w:rsid w:val="006C1D54"/>
    <w:rsid w:val="006C2CED"/>
    <w:rsid w:val="006C44E6"/>
    <w:rsid w:val="006C4D7C"/>
    <w:rsid w:val="006C52D7"/>
    <w:rsid w:val="006C67DA"/>
    <w:rsid w:val="006C73AA"/>
    <w:rsid w:val="006C74F7"/>
    <w:rsid w:val="006C7661"/>
    <w:rsid w:val="006D0773"/>
    <w:rsid w:val="006D2A85"/>
    <w:rsid w:val="006D42B3"/>
    <w:rsid w:val="006D582E"/>
    <w:rsid w:val="006D5A9A"/>
    <w:rsid w:val="006D6303"/>
    <w:rsid w:val="006D68B1"/>
    <w:rsid w:val="006D74B7"/>
    <w:rsid w:val="006D7F9C"/>
    <w:rsid w:val="006E0271"/>
    <w:rsid w:val="006E02EB"/>
    <w:rsid w:val="006E0E61"/>
    <w:rsid w:val="006E32D3"/>
    <w:rsid w:val="006E443F"/>
    <w:rsid w:val="006E489F"/>
    <w:rsid w:val="006E5E7F"/>
    <w:rsid w:val="006F2107"/>
    <w:rsid w:val="006F271A"/>
    <w:rsid w:val="006F3FC4"/>
    <w:rsid w:val="006F68D6"/>
    <w:rsid w:val="006F7E14"/>
    <w:rsid w:val="0070332A"/>
    <w:rsid w:val="00704907"/>
    <w:rsid w:val="00704B7D"/>
    <w:rsid w:val="0070652E"/>
    <w:rsid w:val="007067CE"/>
    <w:rsid w:val="0071146D"/>
    <w:rsid w:val="00711618"/>
    <w:rsid w:val="00712511"/>
    <w:rsid w:val="00712B3C"/>
    <w:rsid w:val="00714B9B"/>
    <w:rsid w:val="00714F91"/>
    <w:rsid w:val="00715AA9"/>
    <w:rsid w:val="00716AA2"/>
    <w:rsid w:val="0071706D"/>
    <w:rsid w:val="00720260"/>
    <w:rsid w:val="0072057D"/>
    <w:rsid w:val="007209B1"/>
    <w:rsid w:val="00721485"/>
    <w:rsid w:val="007237B9"/>
    <w:rsid w:val="007238E3"/>
    <w:rsid w:val="007243A4"/>
    <w:rsid w:val="0072591B"/>
    <w:rsid w:val="00726E1D"/>
    <w:rsid w:val="00727159"/>
    <w:rsid w:val="007272AA"/>
    <w:rsid w:val="00727CA7"/>
    <w:rsid w:val="0073017F"/>
    <w:rsid w:val="007306EA"/>
    <w:rsid w:val="00731A15"/>
    <w:rsid w:val="0073279C"/>
    <w:rsid w:val="007331DF"/>
    <w:rsid w:val="0073524A"/>
    <w:rsid w:val="00735310"/>
    <w:rsid w:val="00736810"/>
    <w:rsid w:val="00737E61"/>
    <w:rsid w:val="00741995"/>
    <w:rsid w:val="00742F55"/>
    <w:rsid w:val="00745148"/>
    <w:rsid w:val="007459DC"/>
    <w:rsid w:val="00745E79"/>
    <w:rsid w:val="00746A75"/>
    <w:rsid w:val="00747931"/>
    <w:rsid w:val="00750267"/>
    <w:rsid w:val="00750600"/>
    <w:rsid w:val="007550B9"/>
    <w:rsid w:val="00755268"/>
    <w:rsid w:val="00756C0D"/>
    <w:rsid w:val="0075788B"/>
    <w:rsid w:val="00760783"/>
    <w:rsid w:val="00761EF2"/>
    <w:rsid w:val="007621D4"/>
    <w:rsid w:val="00762321"/>
    <w:rsid w:val="00762F8E"/>
    <w:rsid w:val="00763332"/>
    <w:rsid w:val="0076361A"/>
    <w:rsid w:val="00764140"/>
    <w:rsid w:val="0076653C"/>
    <w:rsid w:val="00766E71"/>
    <w:rsid w:val="007670A4"/>
    <w:rsid w:val="00767B11"/>
    <w:rsid w:val="007725F4"/>
    <w:rsid w:val="00772ACA"/>
    <w:rsid w:val="0077342C"/>
    <w:rsid w:val="0077392F"/>
    <w:rsid w:val="00773B87"/>
    <w:rsid w:val="00774A24"/>
    <w:rsid w:val="00774DA4"/>
    <w:rsid w:val="00776971"/>
    <w:rsid w:val="007777A7"/>
    <w:rsid w:val="0078060A"/>
    <w:rsid w:val="00782695"/>
    <w:rsid w:val="00782741"/>
    <w:rsid w:val="007830A1"/>
    <w:rsid w:val="007831D6"/>
    <w:rsid w:val="00784186"/>
    <w:rsid w:val="007868C1"/>
    <w:rsid w:val="007869BB"/>
    <w:rsid w:val="00787734"/>
    <w:rsid w:val="00787B26"/>
    <w:rsid w:val="00791DF8"/>
    <w:rsid w:val="0079237D"/>
    <w:rsid w:val="00792408"/>
    <w:rsid w:val="007937A7"/>
    <w:rsid w:val="00793ACD"/>
    <w:rsid w:val="00793D8B"/>
    <w:rsid w:val="007954AC"/>
    <w:rsid w:val="007955D4"/>
    <w:rsid w:val="007964F0"/>
    <w:rsid w:val="00796B29"/>
    <w:rsid w:val="007A0D1F"/>
    <w:rsid w:val="007A0E70"/>
    <w:rsid w:val="007A16C4"/>
    <w:rsid w:val="007A18F2"/>
    <w:rsid w:val="007A1BF8"/>
    <w:rsid w:val="007A1D28"/>
    <w:rsid w:val="007A1E14"/>
    <w:rsid w:val="007A1F31"/>
    <w:rsid w:val="007A2591"/>
    <w:rsid w:val="007A25B9"/>
    <w:rsid w:val="007A313B"/>
    <w:rsid w:val="007A3610"/>
    <w:rsid w:val="007A3905"/>
    <w:rsid w:val="007A3BBF"/>
    <w:rsid w:val="007A4B9A"/>
    <w:rsid w:val="007A5D99"/>
    <w:rsid w:val="007A7AC5"/>
    <w:rsid w:val="007B0E53"/>
    <w:rsid w:val="007B2F05"/>
    <w:rsid w:val="007B2FEB"/>
    <w:rsid w:val="007B3236"/>
    <w:rsid w:val="007B3240"/>
    <w:rsid w:val="007B37D3"/>
    <w:rsid w:val="007B4419"/>
    <w:rsid w:val="007B47A3"/>
    <w:rsid w:val="007B50F8"/>
    <w:rsid w:val="007B5480"/>
    <w:rsid w:val="007B5DB9"/>
    <w:rsid w:val="007B5F0D"/>
    <w:rsid w:val="007B63AC"/>
    <w:rsid w:val="007B7ABA"/>
    <w:rsid w:val="007C0129"/>
    <w:rsid w:val="007C029D"/>
    <w:rsid w:val="007C113E"/>
    <w:rsid w:val="007C22D1"/>
    <w:rsid w:val="007C2369"/>
    <w:rsid w:val="007C2934"/>
    <w:rsid w:val="007C29A9"/>
    <w:rsid w:val="007C30B4"/>
    <w:rsid w:val="007C321E"/>
    <w:rsid w:val="007C4AA2"/>
    <w:rsid w:val="007C4C3C"/>
    <w:rsid w:val="007C571C"/>
    <w:rsid w:val="007C6E01"/>
    <w:rsid w:val="007D02CE"/>
    <w:rsid w:val="007D3305"/>
    <w:rsid w:val="007D33FA"/>
    <w:rsid w:val="007D3860"/>
    <w:rsid w:val="007D564B"/>
    <w:rsid w:val="007D57A5"/>
    <w:rsid w:val="007D6ABD"/>
    <w:rsid w:val="007D71F7"/>
    <w:rsid w:val="007E112D"/>
    <w:rsid w:val="007E1246"/>
    <w:rsid w:val="007E3A7A"/>
    <w:rsid w:val="007E4974"/>
    <w:rsid w:val="007E4F20"/>
    <w:rsid w:val="007E6C7E"/>
    <w:rsid w:val="007E6CDA"/>
    <w:rsid w:val="007E71DD"/>
    <w:rsid w:val="007E740E"/>
    <w:rsid w:val="007F3C27"/>
    <w:rsid w:val="007F3D0C"/>
    <w:rsid w:val="007F48CE"/>
    <w:rsid w:val="007F4E16"/>
    <w:rsid w:val="007F50F5"/>
    <w:rsid w:val="007F7D60"/>
    <w:rsid w:val="0080050C"/>
    <w:rsid w:val="008023BF"/>
    <w:rsid w:val="0080304B"/>
    <w:rsid w:val="008030E9"/>
    <w:rsid w:val="00803C08"/>
    <w:rsid w:val="0080522B"/>
    <w:rsid w:val="00806C74"/>
    <w:rsid w:val="008072FF"/>
    <w:rsid w:val="00807AB6"/>
    <w:rsid w:val="00812C21"/>
    <w:rsid w:val="00812CDB"/>
    <w:rsid w:val="00816FA5"/>
    <w:rsid w:val="00817459"/>
    <w:rsid w:val="0081765E"/>
    <w:rsid w:val="00820198"/>
    <w:rsid w:val="00821279"/>
    <w:rsid w:val="0082274E"/>
    <w:rsid w:val="00822A99"/>
    <w:rsid w:val="008233B3"/>
    <w:rsid w:val="008240A0"/>
    <w:rsid w:val="00826C49"/>
    <w:rsid w:val="00830C96"/>
    <w:rsid w:val="00830D19"/>
    <w:rsid w:val="00831761"/>
    <w:rsid w:val="008320B1"/>
    <w:rsid w:val="0083221C"/>
    <w:rsid w:val="00833597"/>
    <w:rsid w:val="00834049"/>
    <w:rsid w:val="008353D1"/>
    <w:rsid w:val="008366BC"/>
    <w:rsid w:val="00837829"/>
    <w:rsid w:val="008378B0"/>
    <w:rsid w:val="00837E39"/>
    <w:rsid w:val="00840A7F"/>
    <w:rsid w:val="00840CA3"/>
    <w:rsid w:val="008433D3"/>
    <w:rsid w:val="0084413A"/>
    <w:rsid w:val="00844D39"/>
    <w:rsid w:val="00845D4B"/>
    <w:rsid w:val="008464C4"/>
    <w:rsid w:val="0084651A"/>
    <w:rsid w:val="00847924"/>
    <w:rsid w:val="00854443"/>
    <w:rsid w:val="0085556C"/>
    <w:rsid w:val="00856C65"/>
    <w:rsid w:val="008609C2"/>
    <w:rsid w:val="00860FEA"/>
    <w:rsid w:val="00862A90"/>
    <w:rsid w:val="00862D6C"/>
    <w:rsid w:val="00864E22"/>
    <w:rsid w:val="008650C1"/>
    <w:rsid w:val="00865B22"/>
    <w:rsid w:val="00866687"/>
    <w:rsid w:val="00867FC2"/>
    <w:rsid w:val="00870064"/>
    <w:rsid w:val="008700D5"/>
    <w:rsid w:val="00870AE0"/>
    <w:rsid w:val="00870FDE"/>
    <w:rsid w:val="00871CF7"/>
    <w:rsid w:val="00871FAE"/>
    <w:rsid w:val="008727BF"/>
    <w:rsid w:val="008732DF"/>
    <w:rsid w:val="00873801"/>
    <w:rsid w:val="008740C0"/>
    <w:rsid w:val="00874683"/>
    <w:rsid w:val="00874B14"/>
    <w:rsid w:val="00874FF8"/>
    <w:rsid w:val="0087604F"/>
    <w:rsid w:val="0087614E"/>
    <w:rsid w:val="00876B5B"/>
    <w:rsid w:val="00877394"/>
    <w:rsid w:val="00877559"/>
    <w:rsid w:val="008777AB"/>
    <w:rsid w:val="0087782A"/>
    <w:rsid w:val="00877BF4"/>
    <w:rsid w:val="00877F7D"/>
    <w:rsid w:val="00880647"/>
    <w:rsid w:val="00883760"/>
    <w:rsid w:val="00883F9F"/>
    <w:rsid w:val="00884CC8"/>
    <w:rsid w:val="008864FC"/>
    <w:rsid w:val="008878EA"/>
    <w:rsid w:val="00890956"/>
    <w:rsid w:val="00891489"/>
    <w:rsid w:val="008918D8"/>
    <w:rsid w:val="0089198A"/>
    <w:rsid w:val="0089303A"/>
    <w:rsid w:val="008930F1"/>
    <w:rsid w:val="0089353F"/>
    <w:rsid w:val="00894914"/>
    <w:rsid w:val="00894F1F"/>
    <w:rsid w:val="00895829"/>
    <w:rsid w:val="00895E48"/>
    <w:rsid w:val="008963E2"/>
    <w:rsid w:val="008964B2"/>
    <w:rsid w:val="00896512"/>
    <w:rsid w:val="00897D02"/>
    <w:rsid w:val="008A0BC0"/>
    <w:rsid w:val="008A15F3"/>
    <w:rsid w:val="008A17C9"/>
    <w:rsid w:val="008A24B9"/>
    <w:rsid w:val="008A3822"/>
    <w:rsid w:val="008A3D14"/>
    <w:rsid w:val="008A3EEB"/>
    <w:rsid w:val="008A43F9"/>
    <w:rsid w:val="008A528C"/>
    <w:rsid w:val="008A6869"/>
    <w:rsid w:val="008A74F1"/>
    <w:rsid w:val="008A755C"/>
    <w:rsid w:val="008B406A"/>
    <w:rsid w:val="008B5A28"/>
    <w:rsid w:val="008C0649"/>
    <w:rsid w:val="008C0BEE"/>
    <w:rsid w:val="008C216C"/>
    <w:rsid w:val="008C2F5F"/>
    <w:rsid w:val="008C329C"/>
    <w:rsid w:val="008C39D1"/>
    <w:rsid w:val="008C4FA5"/>
    <w:rsid w:val="008C507F"/>
    <w:rsid w:val="008C6426"/>
    <w:rsid w:val="008D060C"/>
    <w:rsid w:val="008D166A"/>
    <w:rsid w:val="008D275C"/>
    <w:rsid w:val="008D4003"/>
    <w:rsid w:val="008D58A5"/>
    <w:rsid w:val="008D6B70"/>
    <w:rsid w:val="008D6D39"/>
    <w:rsid w:val="008D7325"/>
    <w:rsid w:val="008E1383"/>
    <w:rsid w:val="008E2CF5"/>
    <w:rsid w:val="008E2F8B"/>
    <w:rsid w:val="008E42CC"/>
    <w:rsid w:val="008E4FD3"/>
    <w:rsid w:val="008E57E3"/>
    <w:rsid w:val="008E7212"/>
    <w:rsid w:val="008E77F1"/>
    <w:rsid w:val="008F013B"/>
    <w:rsid w:val="008F01CF"/>
    <w:rsid w:val="008F06CE"/>
    <w:rsid w:val="008F0809"/>
    <w:rsid w:val="008F17F8"/>
    <w:rsid w:val="008F1B04"/>
    <w:rsid w:val="008F2F8B"/>
    <w:rsid w:val="008F33D3"/>
    <w:rsid w:val="008F3C8E"/>
    <w:rsid w:val="008F478C"/>
    <w:rsid w:val="008F4D4C"/>
    <w:rsid w:val="008F50DD"/>
    <w:rsid w:val="008F5301"/>
    <w:rsid w:val="008F7145"/>
    <w:rsid w:val="00900104"/>
    <w:rsid w:val="00900F6D"/>
    <w:rsid w:val="009049E7"/>
    <w:rsid w:val="009056EE"/>
    <w:rsid w:val="009068DC"/>
    <w:rsid w:val="00907939"/>
    <w:rsid w:val="0091037E"/>
    <w:rsid w:val="009107E8"/>
    <w:rsid w:val="00910D98"/>
    <w:rsid w:val="009120C9"/>
    <w:rsid w:val="009129F2"/>
    <w:rsid w:val="00913B4E"/>
    <w:rsid w:val="0091458D"/>
    <w:rsid w:val="009148CE"/>
    <w:rsid w:val="00914BE7"/>
    <w:rsid w:val="0091515A"/>
    <w:rsid w:val="009152CE"/>
    <w:rsid w:val="00915BE5"/>
    <w:rsid w:val="00915D96"/>
    <w:rsid w:val="00916000"/>
    <w:rsid w:val="00916A4E"/>
    <w:rsid w:val="00916F26"/>
    <w:rsid w:val="00920E20"/>
    <w:rsid w:val="00922391"/>
    <w:rsid w:val="00923164"/>
    <w:rsid w:val="009238CA"/>
    <w:rsid w:val="0092530F"/>
    <w:rsid w:val="00925389"/>
    <w:rsid w:val="00926468"/>
    <w:rsid w:val="00926D7E"/>
    <w:rsid w:val="0092755A"/>
    <w:rsid w:val="00930437"/>
    <w:rsid w:val="00930D13"/>
    <w:rsid w:val="00930F7C"/>
    <w:rsid w:val="00932A94"/>
    <w:rsid w:val="00934354"/>
    <w:rsid w:val="009356F2"/>
    <w:rsid w:val="0093698A"/>
    <w:rsid w:val="0093774D"/>
    <w:rsid w:val="00937806"/>
    <w:rsid w:val="009400F7"/>
    <w:rsid w:val="009411DB"/>
    <w:rsid w:val="00941D08"/>
    <w:rsid w:val="00941DFA"/>
    <w:rsid w:val="009421B0"/>
    <w:rsid w:val="009425EB"/>
    <w:rsid w:val="00942DFF"/>
    <w:rsid w:val="009440EC"/>
    <w:rsid w:val="009447E3"/>
    <w:rsid w:val="00944B97"/>
    <w:rsid w:val="00944EB2"/>
    <w:rsid w:val="00946C07"/>
    <w:rsid w:val="009475BF"/>
    <w:rsid w:val="00947652"/>
    <w:rsid w:val="00951240"/>
    <w:rsid w:val="00952BCA"/>
    <w:rsid w:val="00953129"/>
    <w:rsid w:val="00953892"/>
    <w:rsid w:val="00954592"/>
    <w:rsid w:val="009573E7"/>
    <w:rsid w:val="00957F05"/>
    <w:rsid w:val="009601C8"/>
    <w:rsid w:val="00962843"/>
    <w:rsid w:val="0096284C"/>
    <w:rsid w:val="0096357C"/>
    <w:rsid w:val="00963E42"/>
    <w:rsid w:val="00964030"/>
    <w:rsid w:val="009651AE"/>
    <w:rsid w:val="0096524E"/>
    <w:rsid w:val="0096546D"/>
    <w:rsid w:val="00965A80"/>
    <w:rsid w:val="00965D03"/>
    <w:rsid w:val="009669AA"/>
    <w:rsid w:val="00967ACA"/>
    <w:rsid w:val="0097222F"/>
    <w:rsid w:val="00973517"/>
    <w:rsid w:val="0097491F"/>
    <w:rsid w:val="00974F89"/>
    <w:rsid w:val="0097553D"/>
    <w:rsid w:val="009755DF"/>
    <w:rsid w:val="009759E6"/>
    <w:rsid w:val="0097611F"/>
    <w:rsid w:val="00976121"/>
    <w:rsid w:val="009762B9"/>
    <w:rsid w:val="00976D7A"/>
    <w:rsid w:val="009818D2"/>
    <w:rsid w:val="00981E62"/>
    <w:rsid w:val="00982579"/>
    <w:rsid w:val="009827BD"/>
    <w:rsid w:val="00982900"/>
    <w:rsid w:val="00983D75"/>
    <w:rsid w:val="00984FF9"/>
    <w:rsid w:val="00986298"/>
    <w:rsid w:val="00987643"/>
    <w:rsid w:val="00987A2A"/>
    <w:rsid w:val="009923A3"/>
    <w:rsid w:val="009946DC"/>
    <w:rsid w:val="00994863"/>
    <w:rsid w:val="00995613"/>
    <w:rsid w:val="00995954"/>
    <w:rsid w:val="009964F1"/>
    <w:rsid w:val="009966C7"/>
    <w:rsid w:val="0099680C"/>
    <w:rsid w:val="00997958"/>
    <w:rsid w:val="009A0B2F"/>
    <w:rsid w:val="009A0E4D"/>
    <w:rsid w:val="009A11AC"/>
    <w:rsid w:val="009A2317"/>
    <w:rsid w:val="009A3C8E"/>
    <w:rsid w:val="009A5950"/>
    <w:rsid w:val="009A646F"/>
    <w:rsid w:val="009A72E9"/>
    <w:rsid w:val="009A7CDD"/>
    <w:rsid w:val="009A7F54"/>
    <w:rsid w:val="009B02B4"/>
    <w:rsid w:val="009B066E"/>
    <w:rsid w:val="009B070D"/>
    <w:rsid w:val="009B1328"/>
    <w:rsid w:val="009B1956"/>
    <w:rsid w:val="009B1A0E"/>
    <w:rsid w:val="009B258F"/>
    <w:rsid w:val="009B320A"/>
    <w:rsid w:val="009B329E"/>
    <w:rsid w:val="009B4217"/>
    <w:rsid w:val="009B560E"/>
    <w:rsid w:val="009B5A94"/>
    <w:rsid w:val="009B6AD8"/>
    <w:rsid w:val="009B7241"/>
    <w:rsid w:val="009B7350"/>
    <w:rsid w:val="009B7C4F"/>
    <w:rsid w:val="009B7C65"/>
    <w:rsid w:val="009C0ACF"/>
    <w:rsid w:val="009C0C36"/>
    <w:rsid w:val="009C14A4"/>
    <w:rsid w:val="009C2027"/>
    <w:rsid w:val="009C2B06"/>
    <w:rsid w:val="009C3625"/>
    <w:rsid w:val="009C4BCF"/>
    <w:rsid w:val="009C52EC"/>
    <w:rsid w:val="009C5E09"/>
    <w:rsid w:val="009C6449"/>
    <w:rsid w:val="009D0174"/>
    <w:rsid w:val="009D1267"/>
    <w:rsid w:val="009D151E"/>
    <w:rsid w:val="009D1B8B"/>
    <w:rsid w:val="009D3554"/>
    <w:rsid w:val="009D5069"/>
    <w:rsid w:val="009D50ED"/>
    <w:rsid w:val="009D7306"/>
    <w:rsid w:val="009E0366"/>
    <w:rsid w:val="009E0B25"/>
    <w:rsid w:val="009E112D"/>
    <w:rsid w:val="009E2404"/>
    <w:rsid w:val="009E29B9"/>
    <w:rsid w:val="009E3E0D"/>
    <w:rsid w:val="009E3F0B"/>
    <w:rsid w:val="009E42F1"/>
    <w:rsid w:val="009E4DDA"/>
    <w:rsid w:val="009E4EEB"/>
    <w:rsid w:val="009E5148"/>
    <w:rsid w:val="009E5BB3"/>
    <w:rsid w:val="009E6669"/>
    <w:rsid w:val="009E67F3"/>
    <w:rsid w:val="009E6E08"/>
    <w:rsid w:val="009E734A"/>
    <w:rsid w:val="009E7D5A"/>
    <w:rsid w:val="009E7ECA"/>
    <w:rsid w:val="009F012E"/>
    <w:rsid w:val="009F07C0"/>
    <w:rsid w:val="009F0C76"/>
    <w:rsid w:val="009F1A67"/>
    <w:rsid w:val="009F1C63"/>
    <w:rsid w:val="009F2247"/>
    <w:rsid w:val="009F2B76"/>
    <w:rsid w:val="009F43C0"/>
    <w:rsid w:val="009F5FFD"/>
    <w:rsid w:val="009F6659"/>
    <w:rsid w:val="009F67B1"/>
    <w:rsid w:val="009F7B1E"/>
    <w:rsid w:val="00A002EE"/>
    <w:rsid w:val="00A00AE5"/>
    <w:rsid w:val="00A01BA4"/>
    <w:rsid w:val="00A02B35"/>
    <w:rsid w:val="00A02C5B"/>
    <w:rsid w:val="00A02FBD"/>
    <w:rsid w:val="00A04A0D"/>
    <w:rsid w:val="00A04B6E"/>
    <w:rsid w:val="00A04CE7"/>
    <w:rsid w:val="00A04FED"/>
    <w:rsid w:val="00A052D5"/>
    <w:rsid w:val="00A061CB"/>
    <w:rsid w:val="00A06234"/>
    <w:rsid w:val="00A06333"/>
    <w:rsid w:val="00A07931"/>
    <w:rsid w:val="00A104B0"/>
    <w:rsid w:val="00A10D03"/>
    <w:rsid w:val="00A118C2"/>
    <w:rsid w:val="00A1369B"/>
    <w:rsid w:val="00A140A3"/>
    <w:rsid w:val="00A14CF5"/>
    <w:rsid w:val="00A15362"/>
    <w:rsid w:val="00A15E6E"/>
    <w:rsid w:val="00A16090"/>
    <w:rsid w:val="00A160D7"/>
    <w:rsid w:val="00A16242"/>
    <w:rsid w:val="00A17828"/>
    <w:rsid w:val="00A17D6E"/>
    <w:rsid w:val="00A21E7A"/>
    <w:rsid w:val="00A21FFC"/>
    <w:rsid w:val="00A22696"/>
    <w:rsid w:val="00A2515C"/>
    <w:rsid w:val="00A26697"/>
    <w:rsid w:val="00A26E26"/>
    <w:rsid w:val="00A276AC"/>
    <w:rsid w:val="00A30285"/>
    <w:rsid w:val="00A3139D"/>
    <w:rsid w:val="00A314F7"/>
    <w:rsid w:val="00A341EF"/>
    <w:rsid w:val="00A35387"/>
    <w:rsid w:val="00A354DB"/>
    <w:rsid w:val="00A359DF"/>
    <w:rsid w:val="00A35E62"/>
    <w:rsid w:val="00A36497"/>
    <w:rsid w:val="00A3670A"/>
    <w:rsid w:val="00A36F3C"/>
    <w:rsid w:val="00A3744E"/>
    <w:rsid w:val="00A3758F"/>
    <w:rsid w:val="00A37961"/>
    <w:rsid w:val="00A4077D"/>
    <w:rsid w:val="00A41181"/>
    <w:rsid w:val="00A43DF1"/>
    <w:rsid w:val="00A4405A"/>
    <w:rsid w:val="00A475AA"/>
    <w:rsid w:val="00A503D5"/>
    <w:rsid w:val="00A5047A"/>
    <w:rsid w:val="00A516E7"/>
    <w:rsid w:val="00A51F47"/>
    <w:rsid w:val="00A5355C"/>
    <w:rsid w:val="00A53A67"/>
    <w:rsid w:val="00A54E92"/>
    <w:rsid w:val="00A5551A"/>
    <w:rsid w:val="00A55BEB"/>
    <w:rsid w:val="00A56E1A"/>
    <w:rsid w:val="00A600CC"/>
    <w:rsid w:val="00A603EF"/>
    <w:rsid w:val="00A60CBE"/>
    <w:rsid w:val="00A6137E"/>
    <w:rsid w:val="00A61FD7"/>
    <w:rsid w:val="00A62464"/>
    <w:rsid w:val="00A6293C"/>
    <w:rsid w:val="00A62A9A"/>
    <w:rsid w:val="00A62E99"/>
    <w:rsid w:val="00A637A9"/>
    <w:rsid w:val="00A63C64"/>
    <w:rsid w:val="00A6487D"/>
    <w:rsid w:val="00A65886"/>
    <w:rsid w:val="00A662AB"/>
    <w:rsid w:val="00A67D00"/>
    <w:rsid w:val="00A70476"/>
    <w:rsid w:val="00A70593"/>
    <w:rsid w:val="00A707C8"/>
    <w:rsid w:val="00A71DD5"/>
    <w:rsid w:val="00A72140"/>
    <w:rsid w:val="00A721F0"/>
    <w:rsid w:val="00A722BE"/>
    <w:rsid w:val="00A72F6A"/>
    <w:rsid w:val="00A73094"/>
    <w:rsid w:val="00A7377E"/>
    <w:rsid w:val="00A7448A"/>
    <w:rsid w:val="00A74E72"/>
    <w:rsid w:val="00A75DFB"/>
    <w:rsid w:val="00A76001"/>
    <w:rsid w:val="00A763D0"/>
    <w:rsid w:val="00A7642E"/>
    <w:rsid w:val="00A76EDB"/>
    <w:rsid w:val="00A77814"/>
    <w:rsid w:val="00A8021C"/>
    <w:rsid w:val="00A8065D"/>
    <w:rsid w:val="00A80E0E"/>
    <w:rsid w:val="00A8266D"/>
    <w:rsid w:val="00A8305F"/>
    <w:rsid w:val="00A83241"/>
    <w:rsid w:val="00A832ED"/>
    <w:rsid w:val="00A83481"/>
    <w:rsid w:val="00A838D5"/>
    <w:rsid w:val="00A83972"/>
    <w:rsid w:val="00A83BC0"/>
    <w:rsid w:val="00A83E1E"/>
    <w:rsid w:val="00A840CE"/>
    <w:rsid w:val="00A8485D"/>
    <w:rsid w:val="00A855D0"/>
    <w:rsid w:val="00A85CE5"/>
    <w:rsid w:val="00A8677F"/>
    <w:rsid w:val="00A9023E"/>
    <w:rsid w:val="00A902C6"/>
    <w:rsid w:val="00A90B6C"/>
    <w:rsid w:val="00A90D0F"/>
    <w:rsid w:val="00A91F12"/>
    <w:rsid w:val="00A942F0"/>
    <w:rsid w:val="00A95EDE"/>
    <w:rsid w:val="00A967B6"/>
    <w:rsid w:val="00A96969"/>
    <w:rsid w:val="00AA0A10"/>
    <w:rsid w:val="00AA3338"/>
    <w:rsid w:val="00AA4396"/>
    <w:rsid w:val="00AA515A"/>
    <w:rsid w:val="00AA71D1"/>
    <w:rsid w:val="00AA7E7A"/>
    <w:rsid w:val="00AA7FC5"/>
    <w:rsid w:val="00AB0086"/>
    <w:rsid w:val="00AB013A"/>
    <w:rsid w:val="00AB04C6"/>
    <w:rsid w:val="00AB0FDB"/>
    <w:rsid w:val="00AB1B33"/>
    <w:rsid w:val="00AB32B6"/>
    <w:rsid w:val="00AB3595"/>
    <w:rsid w:val="00AB51C7"/>
    <w:rsid w:val="00AB61D4"/>
    <w:rsid w:val="00AB61ED"/>
    <w:rsid w:val="00AB65B9"/>
    <w:rsid w:val="00AB6D19"/>
    <w:rsid w:val="00AB6F32"/>
    <w:rsid w:val="00AB77BC"/>
    <w:rsid w:val="00AC0D75"/>
    <w:rsid w:val="00AC1696"/>
    <w:rsid w:val="00AC1755"/>
    <w:rsid w:val="00AC19B8"/>
    <w:rsid w:val="00AC1ECE"/>
    <w:rsid w:val="00AC1F82"/>
    <w:rsid w:val="00AC25B8"/>
    <w:rsid w:val="00AC4326"/>
    <w:rsid w:val="00AC5F9A"/>
    <w:rsid w:val="00AC6D26"/>
    <w:rsid w:val="00AC6DA4"/>
    <w:rsid w:val="00AC7293"/>
    <w:rsid w:val="00AD0A11"/>
    <w:rsid w:val="00AD141E"/>
    <w:rsid w:val="00AD1705"/>
    <w:rsid w:val="00AD1BB3"/>
    <w:rsid w:val="00AD2D0A"/>
    <w:rsid w:val="00AD4108"/>
    <w:rsid w:val="00AD4710"/>
    <w:rsid w:val="00AD49AC"/>
    <w:rsid w:val="00AD6587"/>
    <w:rsid w:val="00AE224B"/>
    <w:rsid w:val="00AE2259"/>
    <w:rsid w:val="00AE3727"/>
    <w:rsid w:val="00AE3839"/>
    <w:rsid w:val="00AE4783"/>
    <w:rsid w:val="00AE70D0"/>
    <w:rsid w:val="00AE7840"/>
    <w:rsid w:val="00AE7A9C"/>
    <w:rsid w:val="00AF0492"/>
    <w:rsid w:val="00AF0942"/>
    <w:rsid w:val="00AF1C26"/>
    <w:rsid w:val="00AF1D77"/>
    <w:rsid w:val="00AF1DFD"/>
    <w:rsid w:val="00AF2225"/>
    <w:rsid w:val="00AF2E12"/>
    <w:rsid w:val="00AF2EBE"/>
    <w:rsid w:val="00AF4488"/>
    <w:rsid w:val="00AF64D8"/>
    <w:rsid w:val="00AF6B32"/>
    <w:rsid w:val="00AF7495"/>
    <w:rsid w:val="00B02161"/>
    <w:rsid w:val="00B021C9"/>
    <w:rsid w:val="00B023FF"/>
    <w:rsid w:val="00B0255A"/>
    <w:rsid w:val="00B02AAA"/>
    <w:rsid w:val="00B034B4"/>
    <w:rsid w:val="00B04F3C"/>
    <w:rsid w:val="00B05457"/>
    <w:rsid w:val="00B056E0"/>
    <w:rsid w:val="00B06082"/>
    <w:rsid w:val="00B066A5"/>
    <w:rsid w:val="00B076BD"/>
    <w:rsid w:val="00B123D7"/>
    <w:rsid w:val="00B12E0F"/>
    <w:rsid w:val="00B13BD7"/>
    <w:rsid w:val="00B14C43"/>
    <w:rsid w:val="00B165F6"/>
    <w:rsid w:val="00B16D91"/>
    <w:rsid w:val="00B170C7"/>
    <w:rsid w:val="00B173EB"/>
    <w:rsid w:val="00B178D3"/>
    <w:rsid w:val="00B208AD"/>
    <w:rsid w:val="00B209D5"/>
    <w:rsid w:val="00B22D1A"/>
    <w:rsid w:val="00B22DD0"/>
    <w:rsid w:val="00B241C4"/>
    <w:rsid w:val="00B247BC"/>
    <w:rsid w:val="00B25738"/>
    <w:rsid w:val="00B2577B"/>
    <w:rsid w:val="00B25AFD"/>
    <w:rsid w:val="00B26902"/>
    <w:rsid w:val="00B26BA1"/>
    <w:rsid w:val="00B275FD"/>
    <w:rsid w:val="00B27C9E"/>
    <w:rsid w:val="00B30F22"/>
    <w:rsid w:val="00B322AF"/>
    <w:rsid w:val="00B332E5"/>
    <w:rsid w:val="00B34243"/>
    <w:rsid w:val="00B3568F"/>
    <w:rsid w:val="00B35AD9"/>
    <w:rsid w:val="00B361D7"/>
    <w:rsid w:val="00B36DF8"/>
    <w:rsid w:val="00B3721A"/>
    <w:rsid w:val="00B40DE2"/>
    <w:rsid w:val="00B427A4"/>
    <w:rsid w:val="00B42C98"/>
    <w:rsid w:val="00B43D55"/>
    <w:rsid w:val="00B44B10"/>
    <w:rsid w:val="00B44DC2"/>
    <w:rsid w:val="00B45601"/>
    <w:rsid w:val="00B46587"/>
    <w:rsid w:val="00B46A5F"/>
    <w:rsid w:val="00B5009D"/>
    <w:rsid w:val="00B5124C"/>
    <w:rsid w:val="00B515C9"/>
    <w:rsid w:val="00B537C5"/>
    <w:rsid w:val="00B53C0A"/>
    <w:rsid w:val="00B5480F"/>
    <w:rsid w:val="00B548CC"/>
    <w:rsid w:val="00B55841"/>
    <w:rsid w:val="00B56A72"/>
    <w:rsid w:val="00B56C41"/>
    <w:rsid w:val="00B57541"/>
    <w:rsid w:val="00B579D5"/>
    <w:rsid w:val="00B57CC3"/>
    <w:rsid w:val="00B60880"/>
    <w:rsid w:val="00B62187"/>
    <w:rsid w:val="00B628ED"/>
    <w:rsid w:val="00B62DBF"/>
    <w:rsid w:val="00B6362D"/>
    <w:rsid w:val="00B6443D"/>
    <w:rsid w:val="00B64639"/>
    <w:rsid w:val="00B64EF0"/>
    <w:rsid w:val="00B65EAF"/>
    <w:rsid w:val="00B66034"/>
    <w:rsid w:val="00B66DCA"/>
    <w:rsid w:val="00B66EEB"/>
    <w:rsid w:val="00B6759B"/>
    <w:rsid w:val="00B67A10"/>
    <w:rsid w:val="00B70B6D"/>
    <w:rsid w:val="00B72156"/>
    <w:rsid w:val="00B72430"/>
    <w:rsid w:val="00B73145"/>
    <w:rsid w:val="00B74979"/>
    <w:rsid w:val="00B754E8"/>
    <w:rsid w:val="00B75632"/>
    <w:rsid w:val="00B80781"/>
    <w:rsid w:val="00B8162A"/>
    <w:rsid w:val="00B831F0"/>
    <w:rsid w:val="00B848B7"/>
    <w:rsid w:val="00B84BEF"/>
    <w:rsid w:val="00B84E46"/>
    <w:rsid w:val="00B863DF"/>
    <w:rsid w:val="00B8770E"/>
    <w:rsid w:val="00B87937"/>
    <w:rsid w:val="00B879CE"/>
    <w:rsid w:val="00B93440"/>
    <w:rsid w:val="00B94A97"/>
    <w:rsid w:val="00BA1985"/>
    <w:rsid w:val="00BA1B2A"/>
    <w:rsid w:val="00BA1E46"/>
    <w:rsid w:val="00BA1E6D"/>
    <w:rsid w:val="00BA2C6D"/>
    <w:rsid w:val="00BA2D1B"/>
    <w:rsid w:val="00BA2E21"/>
    <w:rsid w:val="00BA45D6"/>
    <w:rsid w:val="00BA559E"/>
    <w:rsid w:val="00BA6C58"/>
    <w:rsid w:val="00BA7602"/>
    <w:rsid w:val="00BB078D"/>
    <w:rsid w:val="00BB0EDF"/>
    <w:rsid w:val="00BB275F"/>
    <w:rsid w:val="00BB2913"/>
    <w:rsid w:val="00BB2B2A"/>
    <w:rsid w:val="00BB36CF"/>
    <w:rsid w:val="00BB3E34"/>
    <w:rsid w:val="00BB46E4"/>
    <w:rsid w:val="00BB73F4"/>
    <w:rsid w:val="00BB74E0"/>
    <w:rsid w:val="00BB7880"/>
    <w:rsid w:val="00BC0BA0"/>
    <w:rsid w:val="00BC11A9"/>
    <w:rsid w:val="00BC2059"/>
    <w:rsid w:val="00BC3393"/>
    <w:rsid w:val="00BC36A9"/>
    <w:rsid w:val="00BC3A9D"/>
    <w:rsid w:val="00BC3E3B"/>
    <w:rsid w:val="00BC5D0B"/>
    <w:rsid w:val="00BC6F88"/>
    <w:rsid w:val="00BD1214"/>
    <w:rsid w:val="00BD139A"/>
    <w:rsid w:val="00BD3FFB"/>
    <w:rsid w:val="00BD41D1"/>
    <w:rsid w:val="00BD4601"/>
    <w:rsid w:val="00BD481F"/>
    <w:rsid w:val="00BD48A2"/>
    <w:rsid w:val="00BD4BC8"/>
    <w:rsid w:val="00BD7577"/>
    <w:rsid w:val="00BE05B7"/>
    <w:rsid w:val="00BE09BA"/>
    <w:rsid w:val="00BE0B2F"/>
    <w:rsid w:val="00BE0D13"/>
    <w:rsid w:val="00BE13AB"/>
    <w:rsid w:val="00BE4416"/>
    <w:rsid w:val="00BE44E1"/>
    <w:rsid w:val="00BE49A3"/>
    <w:rsid w:val="00BE5B7F"/>
    <w:rsid w:val="00BE5FEC"/>
    <w:rsid w:val="00BE6D4C"/>
    <w:rsid w:val="00BF03D7"/>
    <w:rsid w:val="00BF0AA0"/>
    <w:rsid w:val="00BF21BF"/>
    <w:rsid w:val="00BF32DD"/>
    <w:rsid w:val="00BF333D"/>
    <w:rsid w:val="00BF3A2A"/>
    <w:rsid w:val="00BF3D2C"/>
    <w:rsid w:val="00BF3FC6"/>
    <w:rsid w:val="00BF41CB"/>
    <w:rsid w:val="00BF4CBD"/>
    <w:rsid w:val="00BF5A9C"/>
    <w:rsid w:val="00C02CF2"/>
    <w:rsid w:val="00C036CA"/>
    <w:rsid w:val="00C045F3"/>
    <w:rsid w:val="00C04BE9"/>
    <w:rsid w:val="00C04D9E"/>
    <w:rsid w:val="00C055C3"/>
    <w:rsid w:val="00C06993"/>
    <w:rsid w:val="00C07465"/>
    <w:rsid w:val="00C0786D"/>
    <w:rsid w:val="00C07D55"/>
    <w:rsid w:val="00C1080F"/>
    <w:rsid w:val="00C10B7E"/>
    <w:rsid w:val="00C10BC3"/>
    <w:rsid w:val="00C10E05"/>
    <w:rsid w:val="00C12268"/>
    <w:rsid w:val="00C12283"/>
    <w:rsid w:val="00C130B6"/>
    <w:rsid w:val="00C15DDE"/>
    <w:rsid w:val="00C160EE"/>
    <w:rsid w:val="00C1646A"/>
    <w:rsid w:val="00C167C7"/>
    <w:rsid w:val="00C16FA2"/>
    <w:rsid w:val="00C21761"/>
    <w:rsid w:val="00C218B5"/>
    <w:rsid w:val="00C22724"/>
    <w:rsid w:val="00C23833"/>
    <w:rsid w:val="00C2477D"/>
    <w:rsid w:val="00C26080"/>
    <w:rsid w:val="00C26CB8"/>
    <w:rsid w:val="00C30C70"/>
    <w:rsid w:val="00C316B4"/>
    <w:rsid w:val="00C32033"/>
    <w:rsid w:val="00C32705"/>
    <w:rsid w:val="00C33250"/>
    <w:rsid w:val="00C33726"/>
    <w:rsid w:val="00C343DE"/>
    <w:rsid w:val="00C36DBF"/>
    <w:rsid w:val="00C37549"/>
    <w:rsid w:val="00C404A4"/>
    <w:rsid w:val="00C41D01"/>
    <w:rsid w:val="00C42A22"/>
    <w:rsid w:val="00C42EBC"/>
    <w:rsid w:val="00C435F1"/>
    <w:rsid w:val="00C43825"/>
    <w:rsid w:val="00C43EA3"/>
    <w:rsid w:val="00C44B55"/>
    <w:rsid w:val="00C45065"/>
    <w:rsid w:val="00C452F1"/>
    <w:rsid w:val="00C45577"/>
    <w:rsid w:val="00C45993"/>
    <w:rsid w:val="00C4618E"/>
    <w:rsid w:val="00C4753E"/>
    <w:rsid w:val="00C528CE"/>
    <w:rsid w:val="00C538CF"/>
    <w:rsid w:val="00C53B40"/>
    <w:rsid w:val="00C53F09"/>
    <w:rsid w:val="00C552C9"/>
    <w:rsid w:val="00C56010"/>
    <w:rsid w:val="00C56465"/>
    <w:rsid w:val="00C56CE5"/>
    <w:rsid w:val="00C56EA5"/>
    <w:rsid w:val="00C573C5"/>
    <w:rsid w:val="00C57B5D"/>
    <w:rsid w:val="00C57C8D"/>
    <w:rsid w:val="00C64D04"/>
    <w:rsid w:val="00C663E6"/>
    <w:rsid w:val="00C66B54"/>
    <w:rsid w:val="00C66DE9"/>
    <w:rsid w:val="00C72291"/>
    <w:rsid w:val="00C72AD5"/>
    <w:rsid w:val="00C7385C"/>
    <w:rsid w:val="00C73B24"/>
    <w:rsid w:val="00C73FC6"/>
    <w:rsid w:val="00C73FCC"/>
    <w:rsid w:val="00C75415"/>
    <w:rsid w:val="00C75B31"/>
    <w:rsid w:val="00C76C12"/>
    <w:rsid w:val="00C77DF6"/>
    <w:rsid w:val="00C816DC"/>
    <w:rsid w:val="00C819E7"/>
    <w:rsid w:val="00C82EA9"/>
    <w:rsid w:val="00C84953"/>
    <w:rsid w:val="00C8526E"/>
    <w:rsid w:val="00C85605"/>
    <w:rsid w:val="00C861F3"/>
    <w:rsid w:val="00C87301"/>
    <w:rsid w:val="00C87C8D"/>
    <w:rsid w:val="00C918D4"/>
    <w:rsid w:val="00C9224A"/>
    <w:rsid w:val="00C9231C"/>
    <w:rsid w:val="00C928DB"/>
    <w:rsid w:val="00C9316A"/>
    <w:rsid w:val="00C9392C"/>
    <w:rsid w:val="00C94640"/>
    <w:rsid w:val="00C94ABE"/>
    <w:rsid w:val="00C95031"/>
    <w:rsid w:val="00C95410"/>
    <w:rsid w:val="00C95B6C"/>
    <w:rsid w:val="00C95F3E"/>
    <w:rsid w:val="00CA0364"/>
    <w:rsid w:val="00CA0B9E"/>
    <w:rsid w:val="00CA303A"/>
    <w:rsid w:val="00CA3694"/>
    <w:rsid w:val="00CA371C"/>
    <w:rsid w:val="00CA521F"/>
    <w:rsid w:val="00CA55F9"/>
    <w:rsid w:val="00CA6D58"/>
    <w:rsid w:val="00CB05F0"/>
    <w:rsid w:val="00CB0958"/>
    <w:rsid w:val="00CB1B11"/>
    <w:rsid w:val="00CB31BE"/>
    <w:rsid w:val="00CB3F46"/>
    <w:rsid w:val="00CB4A3E"/>
    <w:rsid w:val="00CB60D9"/>
    <w:rsid w:val="00CB752F"/>
    <w:rsid w:val="00CC0CF1"/>
    <w:rsid w:val="00CC2726"/>
    <w:rsid w:val="00CC2A5F"/>
    <w:rsid w:val="00CC2F99"/>
    <w:rsid w:val="00CC3DBB"/>
    <w:rsid w:val="00CC4AAC"/>
    <w:rsid w:val="00CC4BFB"/>
    <w:rsid w:val="00CC5A6E"/>
    <w:rsid w:val="00CC65B8"/>
    <w:rsid w:val="00CC7429"/>
    <w:rsid w:val="00CC7D85"/>
    <w:rsid w:val="00CD0795"/>
    <w:rsid w:val="00CD07C0"/>
    <w:rsid w:val="00CD0C01"/>
    <w:rsid w:val="00CD0DB7"/>
    <w:rsid w:val="00CD23D1"/>
    <w:rsid w:val="00CD26C7"/>
    <w:rsid w:val="00CD2B44"/>
    <w:rsid w:val="00CD32F5"/>
    <w:rsid w:val="00CD48A8"/>
    <w:rsid w:val="00CD4AE0"/>
    <w:rsid w:val="00CD5BC8"/>
    <w:rsid w:val="00CD73F3"/>
    <w:rsid w:val="00CD7910"/>
    <w:rsid w:val="00CD7A67"/>
    <w:rsid w:val="00CD7EC0"/>
    <w:rsid w:val="00CE0847"/>
    <w:rsid w:val="00CE10B2"/>
    <w:rsid w:val="00CE1805"/>
    <w:rsid w:val="00CE25DF"/>
    <w:rsid w:val="00CE38AF"/>
    <w:rsid w:val="00CE3C1A"/>
    <w:rsid w:val="00CE4B9F"/>
    <w:rsid w:val="00CE4CCD"/>
    <w:rsid w:val="00CE5606"/>
    <w:rsid w:val="00CE5713"/>
    <w:rsid w:val="00CE6566"/>
    <w:rsid w:val="00CF080E"/>
    <w:rsid w:val="00CF0E87"/>
    <w:rsid w:val="00CF1156"/>
    <w:rsid w:val="00CF196E"/>
    <w:rsid w:val="00CF1A41"/>
    <w:rsid w:val="00CF1D2F"/>
    <w:rsid w:val="00CF2B9C"/>
    <w:rsid w:val="00CF2DA8"/>
    <w:rsid w:val="00CF3ADC"/>
    <w:rsid w:val="00CF4DE9"/>
    <w:rsid w:val="00CF52C0"/>
    <w:rsid w:val="00CF7BC8"/>
    <w:rsid w:val="00D02256"/>
    <w:rsid w:val="00D0326F"/>
    <w:rsid w:val="00D03E0A"/>
    <w:rsid w:val="00D04742"/>
    <w:rsid w:val="00D04D30"/>
    <w:rsid w:val="00D05463"/>
    <w:rsid w:val="00D0611A"/>
    <w:rsid w:val="00D06C94"/>
    <w:rsid w:val="00D06E3D"/>
    <w:rsid w:val="00D07E59"/>
    <w:rsid w:val="00D10C2E"/>
    <w:rsid w:val="00D112B2"/>
    <w:rsid w:val="00D12082"/>
    <w:rsid w:val="00D12235"/>
    <w:rsid w:val="00D12304"/>
    <w:rsid w:val="00D12D78"/>
    <w:rsid w:val="00D13045"/>
    <w:rsid w:val="00D14ADB"/>
    <w:rsid w:val="00D14B4D"/>
    <w:rsid w:val="00D15EC0"/>
    <w:rsid w:val="00D160C6"/>
    <w:rsid w:val="00D168FB"/>
    <w:rsid w:val="00D16E04"/>
    <w:rsid w:val="00D21066"/>
    <w:rsid w:val="00D2147E"/>
    <w:rsid w:val="00D21F30"/>
    <w:rsid w:val="00D24AFA"/>
    <w:rsid w:val="00D25126"/>
    <w:rsid w:val="00D25500"/>
    <w:rsid w:val="00D25AD4"/>
    <w:rsid w:val="00D25AEA"/>
    <w:rsid w:val="00D25C1D"/>
    <w:rsid w:val="00D25C78"/>
    <w:rsid w:val="00D27F0D"/>
    <w:rsid w:val="00D3002F"/>
    <w:rsid w:val="00D30258"/>
    <w:rsid w:val="00D33A60"/>
    <w:rsid w:val="00D33DFF"/>
    <w:rsid w:val="00D34352"/>
    <w:rsid w:val="00D34D85"/>
    <w:rsid w:val="00D35072"/>
    <w:rsid w:val="00D36BB3"/>
    <w:rsid w:val="00D36C7C"/>
    <w:rsid w:val="00D37F46"/>
    <w:rsid w:val="00D40044"/>
    <w:rsid w:val="00D40364"/>
    <w:rsid w:val="00D40E18"/>
    <w:rsid w:val="00D41250"/>
    <w:rsid w:val="00D417AC"/>
    <w:rsid w:val="00D4185A"/>
    <w:rsid w:val="00D42CC6"/>
    <w:rsid w:val="00D42FD1"/>
    <w:rsid w:val="00D437F2"/>
    <w:rsid w:val="00D43BE7"/>
    <w:rsid w:val="00D45CCF"/>
    <w:rsid w:val="00D45D7A"/>
    <w:rsid w:val="00D46B40"/>
    <w:rsid w:val="00D47963"/>
    <w:rsid w:val="00D479C2"/>
    <w:rsid w:val="00D51B53"/>
    <w:rsid w:val="00D52271"/>
    <w:rsid w:val="00D5228B"/>
    <w:rsid w:val="00D53A82"/>
    <w:rsid w:val="00D53B3E"/>
    <w:rsid w:val="00D55AC9"/>
    <w:rsid w:val="00D57602"/>
    <w:rsid w:val="00D579F4"/>
    <w:rsid w:val="00D60695"/>
    <w:rsid w:val="00D60EB0"/>
    <w:rsid w:val="00D61A67"/>
    <w:rsid w:val="00D62D84"/>
    <w:rsid w:val="00D63515"/>
    <w:rsid w:val="00D639B8"/>
    <w:rsid w:val="00D63A63"/>
    <w:rsid w:val="00D6403A"/>
    <w:rsid w:val="00D644DB"/>
    <w:rsid w:val="00D64603"/>
    <w:rsid w:val="00D650DE"/>
    <w:rsid w:val="00D6517B"/>
    <w:rsid w:val="00D653D2"/>
    <w:rsid w:val="00D6604B"/>
    <w:rsid w:val="00D666B4"/>
    <w:rsid w:val="00D67F83"/>
    <w:rsid w:val="00D7000D"/>
    <w:rsid w:val="00D70361"/>
    <w:rsid w:val="00D70635"/>
    <w:rsid w:val="00D7079A"/>
    <w:rsid w:val="00D718A0"/>
    <w:rsid w:val="00D71E8F"/>
    <w:rsid w:val="00D7398E"/>
    <w:rsid w:val="00D740E9"/>
    <w:rsid w:val="00D7620F"/>
    <w:rsid w:val="00D76B8A"/>
    <w:rsid w:val="00D777E0"/>
    <w:rsid w:val="00D80C7B"/>
    <w:rsid w:val="00D817A6"/>
    <w:rsid w:val="00D81C9B"/>
    <w:rsid w:val="00D82AAE"/>
    <w:rsid w:val="00D83F79"/>
    <w:rsid w:val="00D84BA4"/>
    <w:rsid w:val="00D84CDD"/>
    <w:rsid w:val="00D85A14"/>
    <w:rsid w:val="00D85AA8"/>
    <w:rsid w:val="00D860D9"/>
    <w:rsid w:val="00D86FBD"/>
    <w:rsid w:val="00D87062"/>
    <w:rsid w:val="00D90135"/>
    <w:rsid w:val="00D920BF"/>
    <w:rsid w:val="00D930AE"/>
    <w:rsid w:val="00D94DB9"/>
    <w:rsid w:val="00D94EF0"/>
    <w:rsid w:val="00D956AF"/>
    <w:rsid w:val="00D96157"/>
    <w:rsid w:val="00D97343"/>
    <w:rsid w:val="00D979D3"/>
    <w:rsid w:val="00D97ACB"/>
    <w:rsid w:val="00DA065F"/>
    <w:rsid w:val="00DA16EF"/>
    <w:rsid w:val="00DA210D"/>
    <w:rsid w:val="00DA2AA2"/>
    <w:rsid w:val="00DA40CE"/>
    <w:rsid w:val="00DA45A1"/>
    <w:rsid w:val="00DA5CE6"/>
    <w:rsid w:val="00DA7CAB"/>
    <w:rsid w:val="00DB0D64"/>
    <w:rsid w:val="00DB1A73"/>
    <w:rsid w:val="00DB1AA2"/>
    <w:rsid w:val="00DB1B45"/>
    <w:rsid w:val="00DB4177"/>
    <w:rsid w:val="00DB4C08"/>
    <w:rsid w:val="00DB4CD4"/>
    <w:rsid w:val="00DB5192"/>
    <w:rsid w:val="00DB602A"/>
    <w:rsid w:val="00DB6803"/>
    <w:rsid w:val="00DB682C"/>
    <w:rsid w:val="00DB6BF7"/>
    <w:rsid w:val="00DB7630"/>
    <w:rsid w:val="00DB7D6C"/>
    <w:rsid w:val="00DB7E10"/>
    <w:rsid w:val="00DC06EF"/>
    <w:rsid w:val="00DC0829"/>
    <w:rsid w:val="00DC0C84"/>
    <w:rsid w:val="00DC2947"/>
    <w:rsid w:val="00DC3681"/>
    <w:rsid w:val="00DC4084"/>
    <w:rsid w:val="00DC48A7"/>
    <w:rsid w:val="00DC64E5"/>
    <w:rsid w:val="00DC6B1E"/>
    <w:rsid w:val="00DC6EDB"/>
    <w:rsid w:val="00DC71E1"/>
    <w:rsid w:val="00DD09B5"/>
    <w:rsid w:val="00DD229F"/>
    <w:rsid w:val="00DD58B6"/>
    <w:rsid w:val="00DD5B30"/>
    <w:rsid w:val="00DD6B9F"/>
    <w:rsid w:val="00DD7F17"/>
    <w:rsid w:val="00DE00C6"/>
    <w:rsid w:val="00DE020A"/>
    <w:rsid w:val="00DE02AE"/>
    <w:rsid w:val="00DE1AE1"/>
    <w:rsid w:val="00DE1B1E"/>
    <w:rsid w:val="00DE26C3"/>
    <w:rsid w:val="00DE3A0D"/>
    <w:rsid w:val="00DE3F29"/>
    <w:rsid w:val="00DE64C8"/>
    <w:rsid w:val="00DE79FD"/>
    <w:rsid w:val="00DE7A85"/>
    <w:rsid w:val="00DE7E4A"/>
    <w:rsid w:val="00DF11AF"/>
    <w:rsid w:val="00DF1584"/>
    <w:rsid w:val="00DF1DB6"/>
    <w:rsid w:val="00DF2158"/>
    <w:rsid w:val="00DF24E3"/>
    <w:rsid w:val="00DF5171"/>
    <w:rsid w:val="00DF65F3"/>
    <w:rsid w:val="00DF6B13"/>
    <w:rsid w:val="00DF70B6"/>
    <w:rsid w:val="00E0005A"/>
    <w:rsid w:val="00E00A39"/>
    <w:rsid w:val="00E01683"/>
    <w:rsid w:val="00E020CA"/>
    <w:rsid w:val="00E02F08"/>
    <w:rsid w:val="00E03020"/>
    <w:rsid w:val="00E0366E"/>
    <w:rsid w:val="00E03715"/>
    <w:rsid w:val="00E03842"/>
    <w:rsid w:val="00E04039"/>
    <w:rsid w:val="00E05898"/>
    <w:rsid w:val="00E05EFD"/>
    <w:rsid w:val="00E06273"/>
    <w:rsid w:val="00E062BC"/>
    <w:rsid w:val="00E0638A"/>
    <w:rsid w:val="00E06487"/>
    <w:rsid w:val="00E065EF"/>
    <w:rsid w:val="00E0707A"/>
    <w:rsid w:val="00E071E2"/>
    <w:rsid w:val="00E07329"/>
    <w:rsid w:val="00E07367"/>
    <w:rsid w:val="00E07E65"/>
    <w:rsid w:val="00E12148"/>
    <w:rsid w:val="00E12184"/>
    <w:rsid w:val="00E12242"/>
    <w:rsid w:val="00E123EA"/>
    <w:rsid w:val="00E1287F"/>
    <w:rsid w:val="00E13353"/>
    <w:rsid w:val="00E13D66"/>
    <w:rsid w:val="00E142E3"/>
    <w:rsid w:val="00E14BB0"/>
    <w:rsid w:val="00E16A8C"/>
    <w:rsid w:val="00E17515"/>
    <w:rsid w:val="00E17C3F"/>
    <w:rsid w:val="00E20009"/>
    <w:rsid w:val="00E20290"/>
    <w:rsid w:val="00E20763"/>
    <w:rsid w:val="00E2120C"/>
    <w:rsid w:val="00E22068"/>
    <w:rsid w:val="00E2219B"/>
    <w:rsid w:val="00E23011"/>
    <w:rsid w:val="00E23C4D"/>
    <w:rsid w:val="00E24864"/>
    <w:rsid w:val="00E252A4"/>
    <w:rsid w:val="00E2680D"/>
    <w:rsid w:val="00E27BED"/>
    <w:rsid w:val="00E3146C"/>
    <w:rsid w:val="00E31CBB"/>
    <w:rsid w:val="00E31D40"/>
    <w:rsid w:val="00E32CA5"/>
    <w:rsid w:val="00E33152"/>
    <w:rsid w:val="00E33C44"/>
    <w:rsid w:val="00E36438"/>
    <w:rsid w:val="00E36D71"/>
    <w:rsid w:val="00E36F31"/>
    <w:rsid w:val="00E37F2A"/>
    <w:rsid w:val="00E409BC"/>
    <w:rsid w:val="00E40D40"/>
    <w:rsid w:val="00E411C6"/>
    <w:rsid w:val="00E41AE4"/>
    <w:rsid w:val="00E42496"/>
    <w:rsid w:val="00E42B3B"/>
    <w:rsid w:val="00E42F64"/>
    <w:rsid w:val="00E4327F"/>
    <w:rsid w:val="00E432FC"/>
    <w:rsid w:val="00E43366"/>
    <w:rsid w:val="00E4485A"/>
    <w:rsid w:val="00E44B35"/>
    <w:rsid w:val="00E44D9E"/>
    <w:rsid w:val="00E44F00"/>
    <w:rsid w:val="00E46F2A"/>
    <w:rsid w:val="00E474CA"/>
    <w:rsid w:val="00E47722"/>
    <w:rsid w:val="00E47CAB"/>
    <w:rsid w:val="00E50542"/>
    <w:rsid w:val="00E50913"/>
    <w:rsid w:val="00E52BEE"/>
    <w:rsid w:val="00E534B7"/>
    <w:rsid w:val="00E53540"/>
    <w:rsid w:val="00E53748"/>
    <w:rsid w:val="00E55A00"/>
    <w:rsid w:val="00E57B70"/>
    <w:rsid w:val="00E63A64"/>
    <w:rsid w:val="00E648B7"/>
    <w:rsid w:val="00E6525E"/>
    <w:rsid w:val="00E656ED"/>
    <w:rsid w:val="00E66B94"/>
    <w:rsid w:val="00E679B1"/>
    <w:rsid w:val="00E67B36"/>
    <w:rsid w:val="00E70442"/>
    <w:rsid w:val="00E7290D"/>
    <w:rsid w:val="00E74B24"/>
    <w:rsid w:val="00E75C40"/>
    <w:rsid w:val="00E767BE"/>
    <w:rsid w:val="00E802BB"/>
    <w:rsid w:val="00E81EC0"/>
    <w:rsid w:val="00E8392D"/>
    <w:rsid w:val="00E84196"/>
    <w:rsid w:val="00E84EFA"/>
    <w:rsid w:val="00E8603B"/>
    <w:rsid w:val="00E86248"/>
    <w:rsid w:val="00E868A3"/>
    <w:rsid w:val="00E8756F"/>
    <w:rsid w:val="00E90607"/>
    <w:rsid w:val="00E91733"/>
    <w:rsid w:val="00E92DDF"/>
    <w:rsid w:val="00E9314D"/>
    <w:rsid w:val="00E936B2"/>
    <w:rsid w:val="00E94EFE"/>
    <w:rsid w:val="00E95AC6"/>
    <w:rsid w:val="00E9642C"/>
    <w:rsid w:val="00E96A7C"/>
    <w:rsid w:val="00E97118"/>
    <w:rsid w:val="00EA01E3"/>
    <w:rsid w:val="00EA0928"/>
    <w:rsid w:val="00EA1E00"/>
    <w:rsid w:val="00EA22E2"/>
    <w:rsid w:val="00EA264C"/>
    <w:rsid w:val="00EA2812"/>
    <w:rsid w:val="00EA39D7"/>
    <w:rsid w:val="00EA3B47"/>
    <w:rsid w:val="00EA4268"/>
    <w:rsid w:val="00EA45B6"/>
    <w:rsid w:val="00EA4B91"/>
    <w:rsid w:val="00EA5E74"/>
    <w:rsid w:val="00EA67B9"/>
    <w:rsid w:val="00EA731E"/>
    <w:rsid w:val="00EA7CE2"/>
    <w:rsid w:val="00EB168D"/>
    <w:rsid w:val="00EB2746"/>
    <w:rsid w:val="00EB2D27"/>
    <w:rsid w:val="00EB33B7"/>
    <w:rsid w:val="00EB3D3F"/>
    <w:rsid w:val="00EB3E69"/>
    <w:rsid w:val="00EB40CA"/>
    <w:rsid w:val="00EB59E8"/>
    <w:rsid w:val="00EB6044"/>
    <w:rsid w:val="00EB6A77"/>
    <w:rsid w:val="00EB7884"/>
    <w:rsid w:val="00EC024A"/>
    <w:rsid w:val="00EC22B5"/>
    <w:rsid w:val="00EC270D"/>
    <w:rsid w:val="00EC3EEC"/>
    <w:rsid w:val="00EC47E5"/>
    <w:rsid w:val="00EC4DA8"/>
    <w:rsid w:val="00EC4E0E"/>
    <w:rsid w:val="00EC5825"/>
    <w:rsid w:val="00EC59D0"/>
    <w:rsid w:val="00EC5F02"/>
    <w:rsid w:val="00EC6691"/>
    <w:rsid w:val="00EC6CF6"/>
    <w:rsid w:val="00EC7275"/>
    <w:rsid w:val="00EC7782"/>
    <w:rsid w:val="00ED009D"/>
    <w:rsid w:val="00ED0B0E"/>
    <w:rsid w:val="00ED224C"/>
    <w:rsid w:val="00ED293E"/>
    <w:rsid w:val="00ED2D3C"/>
    <w:rsid w:val="00ED3E1E"/>
    <w:rsid w:val="00ED4BEB"/>
    <w:rsid w:val="00ED5482"/>
    <w:rsid w:val="00ED608C"/>
    <w:rsid w:val="00EE00F1"/>
    <w:rsid w:val="00EE2B67"/>
    <w:rsid w:val="00EE2CF1"/>
    <w:rsid w:val="00EE3B20"/>
    <w:rsid w:val="00EE3B6A"/>
    <w:rsid w:val="00EE69C1"/>
    <w:rsid w:val="00EE6A1D"/>
    <w:rsid w:val="00EE707E"/>
    <w:rsid w:val="00EE758D"/>
    <w:rsid w:val="00EE7A3D"/>
    <w:rsid w:val="00EF09A7"/>
    <w:rsid w:val="00EF125A"/>
    <w:rsid w:val="00EF3981"/>
    <w:rsid w:val="00EF3B12"/>
    <w:rsid w:val="00EF4343"/>
    <w:rsid w:val="00EF5A2F"/>
    <w:rsid w:val="00EF5A76"/>
    <w:rsid w:val="00F00121"/>
    <w:rsid w:val="00F0018B"/>
    <w:rsid w:val="00F00B9B"/>
    <w:rsid w:val="00F01440"/>
    <w:rsid w:val="00F018D9"/>
    <w:rsid w:val="00F03CD3"/>
    <w:rsid w:val="00F04C10"/>
    <w:rsid w:val="00F0515E"/>
    <w:rsid w:val="00F05EDF"/>
    <w:rsid w:val="00F06664"/>
    <w:rsid w:val="00F06C20"/>
    <w:rsid w:val="00F06D57"/>
    <w:rsid w:val="00F06EE5"/>
    <w:rsid w:val="00F070E8"/>
    <w:rsid w:val="00F10897"/>
    <w:rsid w:val="00F10968"/>
    <w:rsid w:val="00F10EAF"/>
    <w:rsid w:val="00F14159"/>
    <w:rsid w:val="00F14226"/>
    <w:rsid w:val="00F14B64"/>
    <w:rsid w:val="00F158F9"/>
    <w:rsid w:val="00F1666A"/>
    <w:rsid w:val="00F16CFB"/>
    <w:rsid w:val="00F179AE"/>
    <w:rsid w:val="00F17CE0"/>
    <w:rsid w:val="00F17E42"/>
    <w:rsid w:val="00F20702"/>
    <w:rsid w:val="00F209AA"/>
    <w:rsid w:val="00F20AB1"/>
    <w:rsid w:val="00F20ACC"/>
    <w:rsid w:val="00F20BDE"/>
    <w:rsid w:val="00F211CB"/>
    <w:rsid w:val="00F216FF"/>
    <w:rsid w:val="00F219C9"/>
    <w:rsid w:val="00F2203E"/>
    <w:rsid w:val="00F22486"/>
    <w:rsid w:val="00F2289E"/>
    <w:rsid w:val="00F229AE"/>
    <w:rsid w:val="00F22D08"/>
    <w:rsid w:val="00F2374D"/>
    <w:rsid w:val="00F23E00"/>
    <w:rsid w:val="00F24C3B"/>
    <w:rsid w:val="00F26537"/>
    <w:rsid w:val="00F26A71"/>
    <w:rsid w:val="00F27B2C"/>
    <w:rsid w:val="00F30AE1"/>
    <w:rsid w:val="00F30EFE"/>
    <w:rsid w:val="00F311C7"/>
    <w:rsid w:val="00F31696"/>
    <w:rsid w:val="00F32E07"/>
    <w:rsid w:val="00F335B7"/>
    <w:rsid w:val="00F3369F"/>
    <w:rsid w:val="00F33A7E"/>
    <w:rsid w:val="00F351C4"/>
    <w:rsid w:val="00F36BCB"/>
    <w:rsid w:val="00F379E2"/>
    <w:rsid w:val="00F40757"/>
    <w:rsid w:val="00F40C4E"/>
    <w:rsid w:val="00F41367"/>
    <w:rsid w:val="00F4171E"/>
    <w:rsid w:val="00F418C5"/>
    <w:rsid w:val="00F42358"/>
    <w:rsid w:val="00F424FD"/>
    <w:rsid w:val="00F428BA"/>
    <w:rsid w:val="00F42A7B"/>
    <w:rsid w:val="00F43D05"/>
    <w:rsid w:val="00F43D27"/>
    <w:rsid w:val="00F44063"/>
    <w:rsid w:val="00F44BA3"/>
    <w:rsid w:val="00F44C68"/>
    <w:rsid w:val="00F44FE3"/>
    <w:rsid w:val="00F45450"/>
    <w:rsid w:val="00F4698E"/>
    <w:rsid w:val="00F5105D"/>
    <w:rsid w:val="00F51C9B"/>
    <w:rsid w:val="00F52EEB"/>
    <w:rsid w:val="00F54869"/>
    <w:rsid w:val="00F54BDD"/>
    <w:rsid w:val="00F55412"/>
    <w:rsid w:val="00F56380"/>
    <w:rsid w:val="00F5689A"/>
    <w:rsid w:val="00F60119"/>
    <w:rsid w:val="00F60553"/>
    <w:rsid w:val="00F624C8"/>
    <w:rsid w:val="00F626CB"/>
    <w:rsid w:val="00F62F35"/>
    <w:rsid w:val="00F63216"/>
    <w:rsid w:val="00F6443E"/>
    <w:rsid w:val="00F6486A"/>
    <w:rsid w:val="00F649C8"/>
    <w:rsid w:val="00F65FEA"/>
    <w:rsid w:val="00F66FCD"/>
    <w:rsid w:val="00F675E2"/>
    <w:rsid w:val="00F676C1"/>
    <w:rsid w:val="00F67952"/>
    <w:rsid w:val="00F67FF7"/>
    <w:rsid w:val="00F70076"/>
    <w:rsid w:val="00F71A3B"/>
    <w:rsid w:val="00F71D48"/>
    <w:rsid w:val="00F721E7"/>
    <w:rsid w:val="00F726EE"/>
    <w:rsid w:val="00F72EA8"/>
    <w:rsid w:val="00F7312D"/>
    <w:rsid w:val="00F73739"/>
    <w:rsid w:val="00F74666"/>
    <w:rsid w:val="00F75B80"/>
    <w:rsid w:val="00F77DCB"/>
    <w:rsid w:val="00F77E95"/>
    <w:rsid w:val="00F81F9E"/>
    <w:rsid w:val="00F8213F"/>
    <w:rsid w:val="00F82DC2"/>
    <w:rsid w:val="00F82F9F"/>
    <w:rsid w:val="00F832DC"/>
    <w:rsid w:val="00F839A3"/>
    <w:rsid w:val="00F83F95"/>
    <w:rsid w:val="00F84B2B"/>
    <w:rsid w:val="00F863FD"/>
    <w:rsid w:val="00F86BEC"/>
    <w:rsid w:val="00F871F9"/>
    <w:rsid w:val="00F87EE9"/>
    <w:rsid w:val="00F90286"/>
    <w:rsid w:val="00F91566"/>
    <w:rsid w:val="00F923B1"/>
    <w:rsid w:val="00F9258F"/>
    <w:rsid w:val="00F92700"/>
    <w:rsid w:val="00F9298D"/>
    <w:rsid w:val="00F935E8"/>
    <w:rsid w:val="00F937B5"/>
    <w:rsid w:val="00F94983"/>
    <w:rsid w:val="00FA0969"/>
    <w:rsid w:val="00FA0CE6"/>
    <w:rsid w:val="00FA1524"/>
    <w:rsid w:val="00FA1BB0"/>
    <w:rsid w:val="00FA28BF"/>
    <w:rsid w:val="00FA2924"/>
    <w:rsid w:val="00FA2EEC"/>
    <w:rsid w:val="00FA324B"/>
    <w:rsid w:val="00FA4C8A"/>
    <w:rsid w:val="00FA4CAA"/>
    <w:rsid w:val="00FA50B5"/>
    <w:rsid w:val="00FA6638"/>
    <w:rsid w:val="00FA6BB3"/>
    <w:rsid w:val="00FA78D0"/>
    <w:rsid w:val="00FA7A44"/>
    <w:rsid w:val="00FB127A"/>
    <w:rsid w:val="00FB1990"/>
    <w:rsid w:val="00FB406B"/>
    <w:rsid w:val="00FB4724"/>
    <w:rsid w:val="00FB4F8A"/>
    <w:rsid w:val="00FB58D9"/>
    <w:rsid w:val="00FB63BD"/>
    <w:rsid w:val="00FB66D3"/>
    <w:rsid w:val="00FB7AA2"/>
    <w:rsid w:val="00FC0DF3"/>
    <w:rsid w:val="00FC2579"/>
    <w:rsid w:val="00FC2E1E"/>
    <w:rsid w:val="00FC3B77"/>
    <w:rsid w:val="00FC3CAC"/>
    <w:rsid w:val="00FC4021"/>
    <w:rsid w:val="00FC41F6"/>
    <w:rsid w:val="00FC56B3"/>
    <w:rsid w:val="00FC6C16"/>
    <w:rsid w:val="00FC6C2C"/>
    <w:rsid w:val="00FC710A"/>
    <w:rsid w:val="00FD0745"/>
    <w:rsid w:val="00FD23F8"/>
    <w:rsid w:val="00FD4702"/>
    <w:rsid w:val="00FD6AB3"/>
    <w:rsid w:val="00FE0947"/>
    <w:rsid w:val="00FE0BB1"/>
    <w:rsid w:val="00FE0EEF"/>
    <w:rsid w:val="00FE1C36"/>
    <w:rsid w:val="00FE1D2B"/>
    <w:rsid w:val="00FE1DFF"/>
    <w:rsid w:val="00FE2010"/>
    <w:rsid w:val="00FE5E96"/>
    <w:rsid w:val="00FE6EAE"/>
    <w:rsid w:val="00FE781A"/>
    <w:rsid w:val="00FE7CAF"/>
    <w:rsid w:val="00FE7D38"/>
    <w:rsid w:val="00FF14F4"/>
    <w:rsid w:val="00FF3577"/>
    <w:rsid w:val="00FF357C"/>
    <w:rsid w:val="00FF39C2"/>
    <w:rsid w:val="00FF4032"/>
    <w:rsid w:val="00FF564A"/>
    <w:rsid w:val="00FF5CCF"/>
    <w:rsid w:val="00FF6000"/>
    <w:rsid w:val="00FF6528"/>
    <w:rsid w:val="00FF6AC0"/>
    <w:rsid w:val="00FF6B3B"/>
    <w:rsid w:val="00FF6C37"/>
    <w:rsid w:val="00FF787E"/>
    <w:rsid w:val="00FF7F15"/>
    <w:rsid w:val="00FF7FA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a2d2a7"/>
    </o:shapedefaults>
    <o:shapelayout v:ext="edit">
      <o:idmap v:ext="edit" data="1"/>
    </o:shapelayout>
  </w:shapeDefaults>
  <w:decimalSymbol w:val="."/>
  <w:listSeparator w:val=","/>
  <w14:docId w14:val="1007437C"/>
  <w15:docId w15:val="{CC33FFBD-0214-4A0D-9124-6280E4498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B95"/>
    <w:rPr>
      <w:rFonts w:ascii="Times New Roman" w:hAnsi="Times New Roman"/>
      <w:sz w:val="24"/>
      <w:szCs w:val="22"/>
    </w:rPr>
  </w:style>
  <w:style w:type="paragraph" w:styleId="Heading1">
    <w:name w:val="heading 1"/>
    <w:basedOn w:val="Normal"/>
    <w:next w:val="Normal"/>
    <w:link w:val="Heading1Char"/>
    <w:uiPriority w:val="99"/>
    <w:qFormat/>
    <w:rsid w:val="008F33D3"/>
    <w:pPr>
      <w:pBdr>
        <w:top w:val="single" w:sz="8" w:space="1" w:color="365F91"/>
        <w:bottom w:val="single" w:sz="8" w:space="1" w:color="365F91"/>
      </w:pBdr>
      <w:spacing w:before="80" w:after="80"/>
      <w:jc w:val="center"/>
      <w:outlineLvl w:val="0"/>
    </w:pPr>
    <w:rPr>
      <w:rFonts w:ascii="Verdana" w:hAnsi="Verdana"/>
      <w:bCs/>
      <w:color w:val="000000"/>
      <w:szCs w:val="24"/>
    </w:rPr>
  </w:style>
  <w:style w:type="paragraph" w:styleId="Heading2">
    <w:name w:val="heading 2"/>
    <w:basedOn w:val="Normal"/>
    <w:next w:val="Normal"/>
    <w:link w:val="Heading2Char"/>
    <w:uiPriority w:val="99"/>
    <w:qFormat/>
    <w:rsid w:val="00A516E7"/>
    <w:pPr>
      <w:spacing w:before="200" w:after="80"/>
      <w:outlineLvl w:val="1"/>
    </w:pPr>
    <w:rPr>
      <w:rFonts w:asciiTheme="minorHAnsi" w:hAnsiTheme="minorHAnsi"/>
      <w:b/>
      <w:i/>
      <w:color w:val="000000"/>
      <w:sz w:val="28"/>
      <w:szCs w:val="24"/>
    </w:rPr>
  </w:style>
  <w:style w:type="paragraph" w:styleId="Heading3">
    <w:name w:val="heading 3"/>
    <w:basedOn w:val="Normal"/>
    <w:next w:val="Normal"/>
    <w:link w:val="Heading3Char"/>
    <w:uiPriority w:val="99"/>
    <w:qFormat/>
    <w:locked/>
    <w:rsid w:val="00BA2E21"/>
    <w:pPr>
      <w:pBdr>
        <w:bottom w:val="single" w:sz="4" w:space="1" w:color="95B3D7"/>
      </w:pBdr>
      <w:spacing w:before="200" w:after="80"/>
      <w:outlineLvl w:val="2"/>
    </w:pPr>
    <w:rPr>
      <w:rFonts w:ascii="Cambria" w:hAnsi="Cambria"/>
      <w:color w:val="4F81BD"/>
      <w:szCs w:val="24"/>
    </w:rPr>
  </w:style>
  <w:style w:type="paragraph" w:styleId="Heading4">
    <w:name w:val="heading 4"/>
    <w:basedOn w:val="Normal"/>
    <w:next w:val="Normal"/>
    <w:link w:val="Heading4Char"/>
    <w:uiPriority w:val="99"/>
    <w:qFormat/>
    <w:locked/>
    <w:rsid w:val="00BA2E21"/>
    <w:pPr>
      <w:pBdr>
        <w:bottom w:val="single" w:sz="4" w:space="2" w:color="B8CCE4"/>
      </w:pBdr>
      <w:spacing w:before="200" w:after="80"/>
      <w:outlineLvl w:val="3"/>
    </w:pPr>
    <w:rPr>
      <w:rFonts w:ascii="Cambria" w:hAnsi="Cambria"/>
      <w:i/>
      <w:iCs/>
      <w:color w:val="4F81BD"/>
      <w:szCs w:val="24"/>
    </w:rPr>
  </w:style>
  <w:style w:type="paragraph" w:styleId="Heading5">
    <w:name w:val="heading 5"/>
    <w:basedOn w:val="Normal"/>
    <w:next w:val="Normal"/>
    <w:link w:val="Heading5Char"/>
    <w:uiPriority w:val="99"/>
    <w:qFormat/>
    <w:locked/>
    <w:rsid w:val="00BA2E21"/>
    <w:pPr>
      <w:spacing w:before="200" w:after="80"/>
      <w:outlineLvl w:val="4"/>
    </w:pPr>
    <w:rPr>
      <w:rFonts w:ascii="Cambria" w:hAnsi="Cambria"/>
      <w:color w:val="4F81BD"/>
    </w:rPr>
  </w:style>
  <w:style w:type="paragraph" w:styleId="Heading6">
    <w:name w:val="heading 6"/>
    <w:basedOn w:val="Normal"/>
    <w:next w:val="Normal"/>
    <w:link w:val="Heading6Char"/>
    <w:uiPriority w:val="99"/>
    <w:qFormat/>
    <w:locked/>
    <w:rsid w:val="00BA2E21"/>
    <w:pPr>
      <w:spacing w:before="280" w:after="100"/>
      <w:outlineLvl w:val="5"/>
    </w:pPr>
    <w:rPr>
      <w:rFonts w:ascii="Cambria" w:hAnsi="Cambria"/>
      <w:i/>
      <w:iCs/>
      <w:color w:val="4F81BD"/>
    </w:rPr>
  </w:style>
  <w:style w:type="paragraph" w:styleId="Heading7">
    <w:name w:val="heading 7"/>
    <w:basedOn w:val="Normal"/>
    <w:next w:val="Normal"/>
    <w:link w:val="Heading7Char"/>
    <w:uiPriority w:val="99"/>
    <w:qFormat/>
    <w:locked/>
    <w:rsid w:val="00BA2E21"/>
    <w:pPr>
      <w:spacing w:before="320" w:after="100"/>
      <w:outlineLvl w:val="6"/>
    </w:pPr>
    <w:rPr>
      <w:rFonts w:ascii="Cambria" w:hAnsi="Cambria"/>
      <w:b/>
      <w:bCs/>
      <w:color w:val="9BBB59"/>
      <w:sz w:val="20"/>
      <w:szCs w:val="20"/>
    </w:rPr>
  </w:style>
  <w:style w:type="paragraph" w:styleId="Heading8">
    <w:name w:val="heading 8"/>
    <w:basedOn w:val="Normal"/>
    <w:next w:val="Normal"/>
    <w:link w:val="Heading8Char"/>
    <w:uiPriority w:val="99"/>
    <w:qFormat/>
    <w:locked/>
    <w:rsid w:val="00BA2E21"/>
    <w:pPr>
      <w:spacing w:before="320" w:after="100"/>
      <w:outlineLvl w:val="7"/>
    </w:pPr>
    <w:rPr>
      <w:rFonts w:ascii="Cambria" w:hAnsi="Cambria"/>
      <w:b/>
      <w:bCs/>
      <w:i/>
      <w:iCs/>
      <w:color w:val="9BBB59"/>
      <w:sz w:val="20"/>
      <w:szCs w:val="20"/>
    </w:rPr>
  </w:style>
  <w:style w:type="paragraph" w:styleId="Heading9">
    <w:name w:val="heading 9"/>
    <w:basedOn w:val="Normal"/>
    <w:next w:val="Normal"/>
    <w:link w:val="Heading9Char"/>
    <w:uiPriority w:val="99"/>
    <w:qFormat/>
    <w:locked/>
    <w:rsid w:val="00BA2E21"/>
    <w:pPr>
      <w:spacing w:before="320" w:after="10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33D3"/>
    <w:rPr>
      <w:rFonts w:ascii="Verdana" w:hAnsi="Verdana" w:cs="Times New Roman"/>
      <w:bCs/>
      <w:color w:val="000000"/>
      <w:sz w:val="24"/>
      <w:szCs w:val="24"/>
    </w:rPr>
  </w:style>
  <w:style w:type="character" w:customStyle="1" w:styleId="Heading2Char">
    <w:name w:val="Heading 2 Char"/>
    <w:basedOn w:val="DefaultParagraphFont"/>
    <w:link w:val="Heading2"/>
    <w:uiPriority w:val="99"/>
    <w:locked/>
    <w:rsid w:val="00A516E7"/>
    <w:rPr>
      <w:rFonts w:asciiTheme="minorHAnsi" w:hAnsiTheme="minorHAnsi"/>
      <w:b/>
      <w:i/>
      <w:color w:val="000000"/>
      <w:sz w:val="28"/>
      <w:szCs w:val="24"/>
    </w:rPr>
  </w:style>
  <w:style w:type="character" w:customStyle="1" w:styleId="Heading3Char">
    <w:name w:val="Heading 3 Char"/>
    <w:basedOn w:val="DefaultParagraphFont"/>
    <w:link w:val="Heading3"/>
    <w:uiPriority w:val="99"/>
    <w:locked/>
    <w:rsid w:val="00BA2E21"/>
    <w:rPr>
      <w:rFonts w:ascii="Cambria" w:hAnsi="Cambria" w:cs="Times New Roman"/>
      <w:color w:val="4F81BD"/>
      <w:sz w:val="24"/>
      <w:szCs w:val="24"/>
    </w:rPr>
  </w:style>
  <w:style w:type="character" w:customStyle="1" w:styleId="Heading4Char">
    <w:name w:val="Heading 4 Char"/>
    <w:basedOn w:val="DefaultParagraphFont"/>
    <w:link w:val="Heading4"/>
    <w:uiPriority w:val="99"/>
    <w:locked/>
    <w:rsid w:val="00BA2E21"/>
    <w:rPr>
      <w:rFonts w:ascii="Cambria" w:hAnsi="Cambria" w:cs="Times New Roman"/>
      <w:i/>
      <w:iCs/>
      <w:color w:val="4F81BD"/>
      <w:sz w:val="24"/>
      <w:szCs w:val="24"/>
    </w:rPr>
  </w:style>
  <w:style w:type="character" w:customStyle="1" w:styleId="Heading5Char">
    <w:name w:val="Heading 5 Char"/>
    <w:basedOn w:val="DefaultParagraphFont"/>
    <w:link w:val="Heading5"/>
    <w:uiPriority w:val="99"/>
    <w:locked/>
    <w:rsid w:val="00BA2E21"/>
    <w:rPr>
      <w:rFonts w:ascii="Cambria" w:hAnsi="Cambria" w:cs="Times New Roman"/>
      <w:color w:val="4F81BD"/>
    </w:rPr>
  </w:style>
  <w:style w:type="character" w:customStyle="1" w:styleId="Heading6Char">
    <w:name w:val="Heading 6 Char"/>
    <w:basedOn w:val="DefaultParagraphFont"/>
    <w:link w:val="Heading6"/>
    <w:uiPriority w:val="99"/>
    <w:locked/>
    <w:rsid w:val="00BA2E21"/>
    <w:rPr>
      <w:rFonts w:ascii="Cambria" w:hAnsi="Cambria" w:cs="Times New Roman"/>
      <w:i/>
      <w:iCs/>
      <w:color w:val="4F81BD"/>
    </w:rPr>
  </w:style>
  <w:style w:type="character" w:customStyle="1" w:styleId="Heading7Char">
    <w:name w:val="Heading 7 Char"/>
    <w:basedOn w:val="DefaultParagraphFont"/>
    <w:link w:val="Heading7"/>
    <w:uiPriority w:val="99"/>
    <w:locked/>
    <w:rsid w:val="00BA2E21"/>
    <w:rPr>
      <w:rFonts w:ascii="Cambria" w:hAnsi="Cambria" w:cs="Times New Roman"/>
      <w:b/>
      <w:bCs/>
      <w:color w:val="9BBB59"/>
      <w:sz w:val="20"/>
      <w:szCs w:val="20"/>
    </w:rPr>
  </w:style>
  <w:style w:type="character" w:customStyle="1" w:styleId="Heading8Char">
    <w:name w:val="Heading 8 Char"/>
    <w:basedOn w:val="DefaultParagraphFont"/>
    <w:link w:val="Heading8"/>
    <w:uiPriority w:val="99"/>
    <w:locked/>
    <w:rsid w:val="00BA2E21"/>
    <w:rPr>
      <w:rFonts w:ascii="Cambria" w:hAnsi="Cambria" w:cs="Times New Roman"/>
      <w:b/>
      <w:bCs/>
      <w:i/>
      <w:iCs/>
      <w:color w:val="9BBB59"/>
      <w:sz w:val="20"/>
      <w:szCs w:val="20"/>
    </w:rPr>
  </w:style>
  <w:style w:type="character" w:customStyle="1" w:styleId="Heading9Char">
    <w:name w:val="Heading 9 Char"/>
    <w:basedOn w:val="DefaultParagraphFont"/>
    <w:link w:val="Heading9"/>
    <w:uiPriority w:val="99"/>
    <w:locked/>
    <w:rsid w:val="00BA2E21"/>
    <w:rPr>
      <w:rFonts w:ascii="Cambria" w:hAnsi="Cambria" w:cs="Times New Roman"/>
      <w:i/>
      <w:iCs/>
      <w:color w:val="9BBB59"/>
      <w:sz w:val="20"/>
      <w:szCs w:val="20"/>
    </w:rPr>
  </w:style>
  <w:style w:type="paragraph" w:styleId="NoSpacing">
    <w:name w:val="No Spacing"/>
    <w:basedOn w:val="Normal"/>
    <w:link w:val="NoSpacingChar"/>
    <w:uiPriority w:val="1"/>
    <w:qFormat/>
    <w:rsid w:val="00BA2E21"/>
  </w:style>
  <w:style w:type="character" w:customStyle="1" w:styleId="NoSpacingChar">
    <w:name w:val="No Spacing Char"/>
    <w:basedOn w:val="DefaultParagraphFont"/>
    <w:link w:val="NoSpacing"/>
    <w:uiPriority w:val="99"/>
    <w:locked/>
    <w:rsid w:val="00BA2E21"/>
    <w:rPr>
      <w:rFonts w:cs="Times New Roman"/>
    </w:rPr>
  </w:style>
  <w:style w:type="paragraph" w:styleId="BalloonText">
    <w:name w:val="Balloon Text"/>
    <w:basedOn w:val="Normal"/>
    <w:link w:val="BalloonTextChar"/>
    <w:uiPriority w:val="99"/>
    <w:semiHidden/>
    <w:rsid w:val="004844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449D"/>
    <w:rPr>
      <w:rFonts w:ascii="Tahoma" w:hAnsi="Tahoma" w:cs="Tahoma"/>
      <w:sz w:val="16"/>
      <w:szCs w:val="16"/>
    </w:rPr>
  </w:style>
  <w:style w:type="paragraph" w:styleId="TOCHeading">
    <w:name w:val="TOC Heading"/>
    <w:basedOn w:val="Heading1"/>
    <w:next w:val="Normal"/>
    <w:uiPriority w:val="39"/>
    <w:qFormat/>
    <w:rsid w:val="00BA2E21"/>
    <w:pPr>
      <w:outlineLvl w:val="9"/>
    </w:pPr>
  </w:style>
  <w:style w:type="paragraph" w:styleId="Header">
    <w:name w:val="header"/>
    <w:basedOn w:val="Normal"/>
    <w:link w:val="HeaderChar"/>
    <w:uiPriority w:val="99"/>
    <w:semiHidden/>
    <w:rsid w:val="0048449D"/>
    <w:pPr>
      <w:tabs>
        <w:tab w:val="center" w:pos="4680"/>
        <w:tab w:val="right" w:pos="9360"/>
      </w:tabs>
    </w:pPr>
  </w:style>
  <w:style w:type="character" w:customStyle="1" w:styleId="HeaderChar">
    <w:name w:val="Header Char"/>
    <w:basedOn w:val="DefaultParagraphFont"/>
    <w:link w:val="Header"/>
    <w:uiPriority w:val="99"/>
    <w:semiHidden/>
    <w:locked/>
    <w:rsid w:val="0048449D"/>
    <w:rPr>
      <w:rFonts w:cs="Times New Roman"/>
    </w:rPr>
  </w:style>
  <w:style w:type="paragraph" w:styleId="Footer">
    <w:name w:val="footer"/>
    <w:basedOn w:val="Normal"/>
    <w:link w:val="FooterChar"/>
    <w:uiPriority w:val="99"/>
    <w:rsid w:val="0048449D"/>
    <w:pPr>
      <w:tabs>
        <w:tab w:val="center" w:pos="4680"/>
        <w:tab w:val="right" w:pos="9360"/>
      </w:tabs>
    </w:pPr>
  </w:style>
  <w:style w:type="character" w:customStyle="1" w:styleId="FooterChar">
    <w:name w:val="Footer Char"/>
    <w:basedOn w:val="DefaultParagraphFont"/>
    <w:link w:val="Footer"/>
    <w:uiPriority w:val="99"/>
    <w:locked/>
    <w:rsid w:val="0048449D"/>
    <w:rPr>
      <w:rFonts w:cs="Times New Roman"/>
    </w:rPr>
  </w:style>
  <w:style w:type="paragraph" w:styleId="TOC1">
    <w:name w:val="toc 1"/>
    <w:basedOn w:val="Normal"/>
    <w:next w:val="Normal"/>
    <w:autoRedefine/>
    <w:uiPriority w:val="39"/>
    <w:rsid w:val="0038669C"/>
    <w:pPr>
      <w:tabs>
        <w:tab w:val="right" w:leader="dot" w:pos="9350"/>
      </w:tabs>
      <w:spacing w:after="100" w:line="276" w:lineRule="auto"/>
    </w:pPr>
    <w:rPr>
      <w:rFonts w:asciiTheme="minorHAnsi" w:hAnsiTheme="minorHAnsi" w:cstheme="minorHAnsi"/>
      <w:noProof/>
    </w:rPr>
  </w:style>
  <w:style w:type="paragraph" w:styleId="TOC2">
    <w:name w:val="toc 2"/>
    <w:basedOn w:val="Normal"/>
    <w:next w:val="Normal"/>
    <w:autoRedefine/>
    <w:uiPriority w:val="39"/>
    <w:rsid w:val="00BA2E21"/>
    <w:pPr>
      <w:spacing w:after="100" w:line="276" w:lineRule="auto"/>
      <w:ind w:left="220"/>
    </w:pPr>
  </w:style>
  <w:style w:type="character" w:styleId="Hyperlink">
    <w:name w:val="Hyperlink"/>
    <w:basedOn w:val="DefaultParagraphFont"/>
    <w:uiPriority w:val="99"/>
    <w:rsid w:val="00E9642C"/>
    <w:rPr>
      <w:rFonts w:cs="Times New Roman"/>
      <w:color w:val="0000FF"/>
      <w:u w:val="single"/>
    </w:rPr>
  </w:style>
  <w:style w:type="paragraph" w:styleId="IntenseQuote">
    <w:name w:val="Intense Quote"/>
    <w:basedOn w:val="Normal"/>
    <w:next w:val="Normal"/>
    <w:link w:val="IntenseQuoteChar"/>
    <w:uiPriority w:val="99"/>
    <w:qFormat/>
    <w:rsid w:val="00BA2E2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IntenseQuoteChar">
    <w:name w:val="Intense Quote Char"/>
    <w:basedOn w:val="DefaultParagraphFont"/>
    <w:link w:val="IntenseQuote"/>
    <w:uiPriority w:val="99"/>
    <w:locked/>
    <w:rsid w:val="00BA2E21"/>
    <w:rPr>
      <w:rFonts w:ascii="Cambria" w:hAnsi="Cambria" w:cs="Times New Roman"/>
      <w:i/>
      <w:iCs/>
      <w:color w:val="FFFFFF"/>
      <w:sz w:val="24"/>
      <w:szCs w:val="24"/>
      <w:shd w:val="clear" w:color="auto" w:fill="4F81BD"/>
    </w:rPr>
  </w:style>
  <w:style w:type="paragraph" w:styleId="Caption">
    <w:name w:val="caption"/>
    <w:basedOn w:val="Normal"/>
    <w:next w:val="Normal"/>
    <w:uiPriority w:val="99"/>
    <w:qFormat/>
    <w:rsid w:val="00BA2E21"/>
    <w:rPr>
      <w:b/>
      <w:bCs/>
      <w:sz w:val="18"/>
      <w:szCs w:val="18"/>
    </w:rPr>
  </w:style>
  <w:style w:type="paragraph" w:styleId="Title">
    <w:name w:val="Title"/>
    <w:basedOn w:val="Normal"/>
    <w:next w:val="Normal"/>
    <w:link w:val="TitleChar"/>
    <w:uiPriority w:val="99"/>
    <w:qFormat/>
    <w:rsid w:val="00BA2E21"/>
    <w:pPr>
      <w:pBdr>
        <w:top w:val="single" w:sz="8" w:space="10" w:color="A7BFDE"/>
        <w:bottom w:val="single" w:sz="24" w:space="15" w:color="9BBB59"/>
      </w:pBdr>
      <w:jc w:val="center"/>
    </w:pPr>
    <w:rPr>
      <w:rFonts w:ascii="Cambria" w:hAnsi="Cambria"/>
      <w:i/>
      <w:iCs/>
      <w:color w:val="243F60"/>
      <w:sz w:val="60"/>
      <w:szCs w:val="60"/>
    </w:rPr>
  </w:style>
  <w:style w:type="character" w:customStyle="1" w:styleId="TitleChar">
    <w:name w:val="Title Char"/>
    <w:basedOn w:val="DefaultParagraphFont"/>
    <w:link w:val="Title"/>
    <w:uiPriority w:val="99"/>
    <w:locked/>
    <w:rsid w:val="00BA2E21"/>
    <w:rPr>
      <w:rFonts w:ascii="Cambria" w:hAnsi="Cambria" w:cs="Times New Roman"/>
      <w:i/>
      <w:iCs/>
      <w:color w:val="243F60"/>
      <w:sz w:val="60"/>
      <w:szCs w:val="60"/>
    </w:rPr>
  </w:style>
  <w:style w:type="paragraph" w:styleId="Subtitle">
    <w:name w:val="Subtitle"/>
    <w:basedOn w:val="Normal"/>
    <w:next w:val="Normal"/>
    <w:link w:val="SubtitleChar"/>
    <w:uiPriority w:val="99"/>
    <w:qFormat/>
    <w:rsid w:val="00BA2E21"/>
    <w:pPr>
      <w:spacing w:before="200" w:after="900"/>
      <w:jc w:val="right"/>
    </w:pPr>
    <w:rPr>
      <w:i/>
      <w:iCs/>
      <w:szCs w:val="24"/>
    </w:rPr>
  </w:style>
  <w:style w:type="character" w:customStyle="1" w:styleId="SubtitleChar">
    <w:name w:val="Subtitle Char"/>
    <w:basedOn w:val="DefaultParagraphFont"/>
    <w:link w:val="Subtitle"/>
    <w:uiPriority w:val="99"/>
    <w:locked/>
    <w:rsid w:val="00BA2E21"/>
    <w:rPr>
      <w:rFonts w:ascii="Calibri" w:cs="Times New Roman"/>
      <w:i/>
      <w:iCs/>
      <w:sz w:val="24"/>
      <w:szCs w:val="24"/>
    </w:rPr>
  </w:style>
  <w:style w:type="character" w:styleId="Strong">
    <w:name w:val="Strong"/>
    <w:basedOn w:val="DefaultParagraphFont"/>
    <w:uiPriority w:val="22"/>
    <w:qFormat/>
    <w:locked/>
    <w:rsid w:val="00BA2E21"/>
    <w:rPr>
      <w:rFonts w:cs="Times New Roman"/>
      <w:b/>
      <w:bCs/>
      <w:spacing w:val="0"/>
    </w:rPr>
  </w:style>
  <w:style w:type="character" w:styleId="Emphasis">
    <w:name w:val="Emphasis"/>
    <w:basedOn w:val="DefaultParagraphFont"/>
    <w:uiPriority w:val="20"/>
    <w:qFormat/>
    <w:rsid w:val="00BA2E21"/>
    <w:rPr>
      <w:rFonts w:cs="Times New Roman"/>
      <w:b/>
      <w:i/>
      <w:color w:val="5A5A5A"/>
    </w:rPr>
  </w:style>
  <w:style w:type="paragraph" w:styleId="ListParagraph">
    <w:name w:val="List Paragraph"/>
    <w:basedOn w:val="Normal"/>
    <w:uiPriority w:val="34"/>
    <w:qFormat/>
    <w:rsid w:val="00BA2E21"/>
    <w:pPr>
      <w:ind w:left="720"/>
      <w:contextualSpacing/>
    </w:pPr>
  </w:style>
  <w:style w:type="paragraph" w:styleId="Quote">
    <w:name w:val="Quote"/>
    <w:basedOn w:val="Normal"/>
    <w:next w:val="Normal"/>
    <w:link w:val="QuoteChar"/>
    <w:uiPriority w:val="99"/>
    <w:qFormat/>
    <w:rsid w:val="00BA2E21"/>
    <w:rPr>
      <w:rFonts w:ascii="Cambria" w:hAnsi="Cambria"/>
      <w:i/>
      <w:iCs/>
      <w:color w:val="5A5A5A"/>
    </w:rPr>
  </w:style>
  <w:style w:type="character" w:customStyle="1" w:styleId="QuoteChar">
    <w:name w:val="Quote Char"/>
    <w:basedOn w:val="DefaultParagraphFont"/>
    <w:link w:val="Quote"/>
    <w:uiPriority w:val="99"/>
    <w:locked/>
    <w:rsid w:val="00BA2E21"/>
    <w:rPr>
      <w:rFonts w:ascii="Cambria" w:hAnsi="Cambria" w:cs="Times New Roman"/>
      <w:i/>
      <w:iCs/>
      <w:color w:val="5A5A5A"/>
    </w:rPr>
  </w:style>
  <w:style w:type="character" w:styleId="SubtleEmphasis">
    <w:name w:val="Subtle Emphasis"/>
    <w:basedOn w:val="DefaultParagraphFont"/>
    <w:uiPriority w:val="99"/>
    <w:qFormat/>
    <w:rsid w:val="00BA2E21"/>
    <w:rPr>
      <w:rFonts w:cs="Times New Roman"/>
      <w:i/>
      <w:color w:val="5A5A5A"/>
    </w:rPr>
  </w:style>
  <w:style w:type="character" w:styleId="IntenseEmphasis">
    <w:name w:val="Intense Emphasis"/>
    <w:basedOn w:val="DefaultParagraphFont"/>
    <w:uiPriority w:val="99"/>
    <w:qFormat/>
    <w:rsid w:val="00BA2E21"/>
    <w:rPr>
      <w:rFonts w:cs="Times New Roman"/>
      <w:b/>
      <w:i/>
      <w:color w:val="4F81BD"/>
      <w:sz w:val="22"/>
    </w:rPr>
  </w:style>
  <w:style w:type="character" w:styleId="SubtleReference">
    <w:name w:val="Subtle Reference"/>
    <w:basedOn w:val="DefaultParagraphFont"/>
    <w:uiPriority w:val="99"/>
    <w:qFormat/>
    <w:rsid w:val="00BA2E21"/>
    <w:rPr>
      <w:rFonts w:cs="Times New Roman"/>
      <w:color w:val="auto"/>
      <w:u w:val="single" w:color="9BBB59"/>
    </w:rPr>
  </w:style>
  <w:style w:type="character" w:styleId="IntenseReference">
    <w:name w:val="Intense Reference"/>
    <w:basedOn w:val="DefaultParagraphFont"/>
    <w:uiPriority w:val="99"/>
    <w:qFormat/>
    <w:rsid w:val="00BA2E21"/>
    <w:rPr>
      <w:rFonts w:cs="Times New Roman"/>
      <w:b/>
      <w:bCs/>
      <w:color w:val="76923C"/>
      <w:u w:val="single" w:color="9BBB59"/>
    </w:rPr>
  </w:style>
  <w:style w:type="character" w:styleId="BookTitle">
    <w:name w:val="Book Title"/>
    <w:basedOn w:val="DefaultParagraphFont"/>
    <w:uiPriority w:val="99"/>
    <w:qFormat/>
    <w:rsid w:val="00CB0958"/>
    <w:rPr>
      <w:rFonts w:ascii="Garamond" w:hAnsi="Garamond" w:cs="Times New Roman"/>
      <w:bCs/>
      <w:iCs/>
      <w:color w:val="auto"/>
      <w:sz w:val="24"/>
    </w:rPr>
  </w:style>
  <w:style w:type="paragraph" w:styleId="TOC3">
    <w:name w:val="toc 3"/>
    <w:basedOn w:val="Normal"/>
    <w:next w:val="Normal"/>
    <w:autoRedefine/>
    <w:uiPriority w:val="99"/>
    <w:locked/>
    <w:rsid w:val="00BA2E21"/>
    <w:pPr>
      <w:spacing w:after="100" w:line="276" w:lineRule="auto"/>
      <w:ind w:left="440"/>
    </w:pPr>
  </w:style>
  <w:style w:type="paragraph" w:customStyle="1" w:styleId="Metabolon">
    <w:name w:val="Metabolon"/>
    <w:basedOn w:val="Normal"/>
    <w:link w:val="MetabolonChar"/>
    <w:uiPriority w:val="99"/>
    <w:rsid w:val="00BA2E21"/>
    <w:pPr>
      <w:pBdr>
        <w:top w:val="single" w:sz="4" w:space="1" w:color="auto"/>
        <w:bottom w:val="single" w:sz="4" w:space="1" w:color="auto"/>
      </w:pBdr>
      <w:jc w:val="center"/>
    </w:pPr>
    <w:rPr>
      <w:rFonts w:ascii="Garamond" w:hAnsi="Garamond"/>
      <w:b/>
      <w:sz w:val="28"/>
      <w:szCs w:val="28"/>
    </w:rPr>
  </w:style>
  <w:style w:type="character" w:customStyle="1" w:styleId="MetabolonChar">
    <w:name w:val="Metabolon Char"/>
    <w:basedOn w:val="DefaultParagraphFont"/>
    <w:link w:val="Metabolon"/>
    <w:uiPriority w:val="99"/>
    <w:locked/>
    <w:rsid w:val="00BA2E21"/>
    <w:rPr>
      <w:rFonts w:ascii="Garamond" w:hAnsi="Garamond" w:cs="Times New Roman"/>
      <w:b/>
      <w:sz w:val="28"/>
      <w:szCs w:val="28"/>
    </w:rPr>
  </w:style>
  <w:style w:type="paragraph" w:customStyle="1" w:styleId="Metabolon2">
    <w:name w:val="Metabolon2"/>
    <w:basedOn w:val="Heading1"/>
    <w:link w:val="Metabolon2Char"/>
    <w:uiPriority w:val="99"/>
    <w:rsid w:val="008F33D3"/>
  </w:style>
  <w:style w:type="character" w:customStyle="1" w:styleId="Metabolon2Char">
    <w:name w:val="Metabolon2 Char"/>
    <w:basedOn w:val="Heading1Char"/>
    <w:link w:val="Metabolon2"/>
    <w:uiPriority w:val="99"/>
    <w:locked/>
    <w:rsid w:val="008F33D3"/>
    <w:rPr>
      <w:rFonts w:ascii="Verdana" w:hAnsi="Verdana" w:cs="Times New Roman"/>
      <w:bCs/>
      <w:color w:val="000000"/>
      <w:sz w:val="24"/>
      <w:szCs w:val="24"/>
    </w:rPr>
  </w:style>
  <w:style w:type="paragraph" w:customStyle="1" w:styleId="Style1">
    <w:name w:val="Style1"/>
    <w:basedOn w:val="Footer"/>
    <w:link w:val="Style1Char"/>
    <w:uiPriority w:val="99"/>
    <w:rsid w:val="001B43E4"/>
    <w:pPr>
      <w:pBdr>
        <w:top w:val="single" w:sz="8" w:space="1" w:color="365F91"/>
      </w:pBdr>
    </w:pPr>
    <w:rPr>
      <w:noProof/>
    </w:rPr>
  </w:style>
  <w:style w:type="character" w:customStyle="1" w:styleId="Style1Char">
    <w:name w:val="Style1 Char"/>
    <w:basedOn w:val="FooterChar"/>
    <w:link w:val="Style1"/>
    <w:uiPriority w:val="99"/>
    <w:locked/>
    <w:rsid w:val="001B43E4"/>
    <w:rPr>
      <w:rFonts w:cs="Times New Roman"/>
      <w:noProof/>
      <w:sz w:val="22"/>
      <w:szCs w:val="22"/>
    </w:rPr>
  </w:style>
  <w:style w:type="paragraph" w:customStyle="1" w:styleId="Style2">
    <w:name w:val="Style2"/>
    <w:basedOn w:val="Footer"/>
    <w:link w:val="Style2Char"/>
    <w:uiPriority w:val="99"/>
    <w:rsid w:val="001B43E4"/>
    <w:rPr>
      <w:lang w:val="pt-BR"/>
    </w:rPr>
  </w:style>
  <w:style w:type="character" w:customStyle="1" w:styleId="Style2Char">
    <w:name w:val="Style2 Char"/>
    <w:basedOn w:val="FooterChar"/>
    <w:link w:val="Style2"/>
    <w:uiPriority w:val="99"/>
    <w:locked/>
    <w:rsid w:val="001B43E4"/>
    <w:rPr>
      <w:rFonts w:cs="Times New Roman"/>
      <w:sz w:val="22"/>
      <w:szCs w:val="22"/>
      <w:lang w:val="pt-BR"/>
    </w:rPr>
  </w:style>
  <w:style w:type="paragraph" w:styleId="NormalWeb">
    <w:name w:val="Normal (Web)"/>
    <w:basedOn w:val="Normal"/>
    <w:uiPriority w:val="99"/>
    <w:locked/>
    <w:rsid w:val="00CF0E87"/>
    <w:pPr>
      <w:spacing w:before="100" w:beforeAutospacing="1" w:after="100" w:afterAutospacing="1"/>
    </w:pPr>
    <w:rPr>
      <w:szCs w:val="24"/>
    </w:rPr>
  </w:style>
  <w:style w:type="paragraph" w:styleId="BodyText">
    <w:name w:val="Body Text"/>
    <w:basedOn w:val="Normal"/>
    <w:link w:val="BodyTextChar"/>
    <w:uiPriority w:val="99"/>
    <w:locked/>
    <w:rsid w:val="00032180"/>
    <w:pPr>
      <w:widowControl w:val="0"/>
      <w:suppressAutoHyphens/>
      <w:spacing w:after="120"/>
    </w:pPr>
    <w:rPr>
      <w:szCs w:val="24"/>
    </w:rPr>
  </w:style>
  <w:style w:type="character" w:customStyle="1" w:styleId="BodyTextChar">
    <w:name w:val="Body Text Char"/>
    <w:basedOn w:val="DefaultParagraphFont"/>
    <w:link w:val="BodyText"/>
    <w:uiPriority w:val="99"/>
    <w:semiHidden/>
    <w:locked/>
    <w:rsid w:val="000818BC"/>
    <w:rPr>
      <w:rFonts w:cs="Times New Roman"/>
    </w:rPr>
  </w:style>
  <w:style w:type="paragraph" w:styleId="BodyTextFirstIndent">
    <w:name w:val="Body Text First Indent"/>
    <w:basedOn w:val="BodyText"/>
    <w:link w:val="BodyTextFirstIndentChar"/>
    <w:uiPriority w:val="99"/>
    <w:locked/>
    <w:rsid w:val="00E252A4"/>
    <w:pPr>
      <w:widowControl/>
      <w:suppressAutoHyphens w:val="0"/>
      <w:ind w:firstLine="210"/>
    </w:pPr>
    <w:rPr>
      <w:szCs w:val="22"/>
    </w:rPr>
  </w:style>
  <w:style w:type="character" w:customStyle="1" w:styleId="BodyTextFirstIndentChar">
    <w:name w:val="Body Text First Indent Char"/>
    <w:basedOn w:val="BodyTextChar"/>
    <w:link w:val="BodyTextFirstIndent"/>
    <w:uiPriority w:val="99"/>
    <w:semiHidden/>
    <w:locked/>
    <w:rsid w:val="00B22DD0"/>
    <w:rPr>
      <w:rFonts w:ascii="Times New Roman" w:hAnsi="Times New Roman" w:cs="Times New Roman"/>
      <w:sz w:val="24"/>
    </w:rPr>
  </w:style>
  <w:style w:type="character" w:styleId="FollowedHyperlink">
    <w:name w:val="FollowedHyperlink"/>
    <w:basedOn w:val="DefaultParagraphFont"/>
    <w:uiPriority w:val="99"/>
    <w:locked/>
    <w:rsid w:val="00075DB8"/>
    <w:rPr>
      <w:rFonts w:cs="Times New Roman"/>
      <w:color w:val="800080"/>
      <w:u w:val="single"/>
    </w:rPr>
  </w:style>
  <w:style w:type="paragraph" w:customStyle="1" w:styleId="font5">
    <w:name w:val="font5"/>
    <w:basedOn w:val="Normal"/>
    <w:uiPriority w:val="99"/>
    <w:rsid w:val="00075DB8"/>
    <w:pPr>
      <w:spacing w:before="100" w:beforeAutospacing="1" w:after="100" w:afterAutospacing="1"/>
    </w:pPr>
    <w:rPr>
      <w:rFonts w:ascii="Aerial" w:hAnsi="Aerial"/>
      <w:sz w:val="16"/>
      <w:szCs w:val="16"/>
    </w:rPr>
  </w:style>
  <w:style w:type="paragraph" w:customStyle="1" w:styleId="xl22">
    <w:name w:val="xl22"/>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erial" w:hAnsi="Aerial"/>
      <w:sz w:val="16"/>
      <w:szCs w:val="16"/>
    </w:rPr>
  </w:style>
  <w:style w:type="paragraph" w:customStyle="1" w:styleId="xl23">
    <w:name w:val="xl23"/>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erial" w:hAnsi="Aerial"/>
      <w:sz w:val="16"/>
      <w:szCs w:val="16"/>
    </w:rPr>
  </w:style>
  <w:style w:type="paragraph" w:customStyle="1" w:styleId="xl24">
    <w:name w:val="xl24"/>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0000"/>
      <w:spacing w:before="100" w:beforeAutospacing="1" w:after="100" w:afterAutospacing="1"/>
    </w:pPr>
    <w:rPr>
      <w:rFonts w:ascii="Aerial" w:hAnsi="Aerial"/>
      <w:color w:val="FFFF00"/>
      <w:sz w:val="16"/>
      <w:szCs w:val="16"/>
    </w:rPr>
  </w:style>
  <w:style w:type="paragraph" w:customStyle="1" w:styleId="xl25">
    <w:name w:val="xl25"/>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26">
    <w:name w:val="xl26"/>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0000"/>
      <w:spacing w:before="100" w:beforeAutospacing="1" w:after="100" w:afterAutospacing="1"/>
    </w:pPr>
    <w:rPr>
      <w:rFonts w:ascii="Aerial" w:hAnsi="Aerial"/>
      <w:color w:val="FFFF00"/>
      <w:sz w:val="16"/>
      <w:szCs w:val="16"/>
    </w:rPr>
  </w:style>
  <w:style w:type="paragraph" w:customStyle="1" w:styleId="xl27">
    <w:name w:val="xl27"/>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28">
    <w:name w:val="xl28"/>
    <w:basedOn w:val="Normal"/>
    <w:uiPriority w:val="99"/>
    <w:rsid w:val="00075DB8"/>
    <w:pPr>
      <w:pBdr>
        <w:top w:val="single" w:sz="12" w:space="0" w:color="000000"/>
        <w:left w:val="single" w:sz="4" w:space="0" w:color="000000"/>
        <w:bottom w:val="single" w:sz="4" w:space="0" w:color="000000"/>
      </w:pBdr>
      <w:shd w:val="clear" w:color="auto" w:fill="FFFFFF"/>
      <w:spacing w:before="100" w:beforeAutospacing="1" w:after="100" w:afterAutospacing="1"/>
    </w:pPr>
    <w:rPr>
      <w:rFonts w:ascii="Aerial" w:hAnsi="Aerial"/>
      <w:sz w:val="16"/>
      <w:szCs w:val="16"/>
    </w:rPr>
  </w:style>
  <w:style w:type="paragraph" w:customStyle="1" w:styleId="xl29">
    <w:name w:val="xl29"/>
    <w:basedOn w:val="Normal"/>
    <w:uiPriority w:val="99"/>
    <w:rsid w:val="00075DB8"/>
    <w:pPr>
      <w:pBdr>
        <w:top w:val="single" w:sz="4" w:space="0" w:color="000000"/>
        <w:left w:val="single" w:sz="4" w:space="0" w:color="000000"/>
        <w:bottom w:val="single" w:sz="4" w:space="0" w:color="000000"/>
      </w:pBdr>
      <w:shd w:val="clear" w:color="auto" w:fill="FFFFFF"/>
      <w:spacing w:before="100" w:beforeAutospacing="1" w:after="100" w:afterAutospacing="1"/>
    </w:pPr>
    <w:rPr>
      <w:rFonts w:ascii="Aerial" w:hAnsi="Aerial"/>
      <w:sz w:val="16"/>
      <w:szCs w:val="16"/>
    </w:rPr>
  </w:style>
  <w:style w:type="paragraph" w:customStyle="1" w:styleId="xl30">
    <w:name w:val="xl30"/>
    <w:basedOn w:val="Normal"/>
    <w:uiPriority w:val="99"/>
    <w:rsid w:val="00075DB8"/>
    <w:pPr>
      <w:pBdr>
        <w:top w:val="single" w:sz="12" w:space="0" w:color="000000"/>
        <w:left w:val="single" w:sz="4" w:space="0" w:color="000000"/>
        <w:bottom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31">
    <w:name w:val="xl31"/>
    <w:basedOn w:val="Normal"/>
    <w:uiPriority w:val="99"/>
    <w:rsid w:val="00075DB8"/>
    <w:pPr>
      <w:pBdr>
        <w:top w:val="single" w:sz="4" w:space="0" w:color="000000"/>
        <w:left w:val="single" w:sz="4" w:space="0" w:color="000000"/>
        <w:bottom w:val="single" w:sz="4" w:space="0" w:color="000000"/>
      </w:pBdr>
      <w:shd w:val="clear" w:color="auto" w:fill="008000"/>
      <w:spacing w:before="100" w:beforeAutospacing="1" w:after="100" w:afterAutospacing="1"/>
    </w:pPr>
    <w:rPr>
      <w:rFonts w:ascii="Aerial" w:hAnsi="Aerial"/>
      <w:color w:val="FFFF00"/>
      <w:sz w:val="16"/>
      <w:szCs w:val="16"/>
    </w:rPr>
  </w:style>
  <w:style w:type="paragraph" w:customStyle="1" w:styleId="xl32">
    <w:name w:val="xl32"/>
    <w:basedOn w:val="Normal"/>
    <w:uiPriority w:val="99"/>
    <w:rsid w:val="00075DB8"/>
    <w:pPr>
      <w:pBdr>
        <w:top w:val="single" w:sz="12" w:space="0" w:color="auto"/>
        <w:bottom w:val="single" w:sz="12" w:space="0" w:color="auto"/>
        <w:right w:val="single" w:sz="4" w:space="0" w:color="000000"/>
      </w:pBdr>
      <w:shd w:val="clear" w:color="auto" w:fill="FFFFFF"/>
      <w:spacing w:before="100" w:beforeAutospacing="1" w:after="100" w:afterAutospacing="1"/>
      <w:jc w:val="center"/>
      <w:textAlignment w:val="center"/>
    </w:pPr>
    <w:rPr>
      <w:rFonts w:ascii="Aerial" w:hAnsi="Aerial"/>
      <w:b/>
      <w:bCs/>
      <w:sz w:val="16"/>
      <w:szCs w:val="16"/>
    </w:rPr>
  </w:style>
  <w:style w:type="paragraph" w:customStyle="1" w:styleId="xl33">
    <w:name w:val="xl33"/>
    <w:basedOn w:val="Normal"/>
    <w:uiPriority w:val="99"/>
    <w:rsid w:val="00075DB8"/>
    <w:pPr>
      <w:pBdr>
        <w:top w:val="single" w:sz="12" w:space="0" w:color="auto"/>
        <w:left w:val="single" w:sz="4" w:space="0" w:color="000000"/>
        <w:bottom w:val="single" w:sz="12" w:space="0" w:color="auto"/>
        <w:right w:val="single" w:sz="4" w:space="0" w:color="000000"/>
      </w:pBdr>
      <w:shd w:val="clear" w:color="auto" w:fill="FFFFFF"/>
      <w:spacing w:before="100" w:beforeAutospacing="1" w:after="100" w:afterAutospacing="1"/>
      <w:jc w:val="center"/>
      <w:textAlignment w:val="center"/>
    </w:pPr>
    <w:rPr>
      <w:rFonts w:ascii="Aerial" w:hAnsi="Aerial"/>
      <w:b/>
      <w:bCs/>
      <w:sz w:val="16"/>
      <w:szCs w:val="16"/>
    </w:rPr>
  </w:style>
  <w:style w:type="paragraph" w:customStyle="1" w:styleId="xl34">
    <w:name w:val="xl34"/>
    <w:basedOn w:val="Normal"/>
    <w:uiPriority w:val="99"/>
    <w:rsid w:val="00075DB8"/>
    <w:pPr>
      <w:pBdr>
        <w:top w:val="single" w:sz="12" w:space="0" w:color="auto"/>
        <w:left w:val="single" w:sz="4" w:space="0" w:color="000000"/>
        <w:bottom w:val="single" w:sz="12" w:space="0" w:color="auto"/>
        <w:right w:val="single" w:sz="4" w:space="0" w:color="000000"/>
      </w:pBdr>
      <w:shd w:val="clear" w:color="auto" w:fill="FFFFFF"/>
      <w:spacing w:before="100" w:beforeAutospacing="1" w:after="100" w:afterAutospacing="1"/>
      <w:jc w:val="center"/>
    </w:pPr>
    <w:rPr>
      <w:rFonts w:ascii="Aerial" w:hAnsi="Aerial"/>
      <w:b/>
      <w:bCs/>
      <w:sz w:val="16"/>
      <w:szCs w:val="16"/>
    </w:rPr>
  </w:style>
  <w:style w:type="paragraph" w:customStyle="1" w:styleId="xl35">
    <w:name w:val="xl35"/>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36">
    <w:name w:val="xl36"/>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37">
    <w:name w:val="xl37"/>
    <w:basedOn w:val="Normal"/>
    <w:uiPriority w:val="99"/>
    <w:rsid w:val="00075DB8"/>
    <w:pPr>
      <w:pBdr>
        <w:top w:val="single" w:sz="12"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38">
    <w:name w:val="xl38"/>
    <w:basedOn w:val="Normal"/>
    <w:uiPriority w:val="99"/>
    <w:rsid w:val="00075DB8"/>
    <w:pPr>
      <w:pBdr>
        <w:top w:val="single" w:sz="12"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erial" w:hAnsi="Aerial"/>
      <w:sz w:val="16"/>
      <w:szCs w:val="16"/>
    </w:rPr>
  </w:style>
  <w:style w:type="paragraph" w:customStyle="1" w:styleId="xl39">
    <w:name w:val="xl39"/>
    <w:basedOn w:val="Normal"/>
    <w:uiPriority w:val="99"/>
    <w:rsid w:val="00075DB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erial" w:hAnsi="Aerial"/>
      <w:sz w:val="16"/>
      <w:szCs w:val="16"/>
    </w:rPr>
  </w:style>
  <w:style w:type="paragraph" w:customStyle="1" w:styleId="xl40">
    <w:name w:val="xl40"/>
    <w:basedOn w:val="Normal"/>
    <w:uiPriority w:val="99"/>
    <w:rsid w:val="00075DB8"/>
    <w:pPr>
      <w:pBdr>
        <w:top w:val="single" w:sz="12"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1">
    <w:name w:val="xl41"/>
    <w:basedOn w:val="Normal"/>
    <w:uiPriority w:val="99"/>
    <w:rsid w:val="00075DB8"/>
    <w:pPr>
      <w:pBdr>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2">
    <w:name w:val="xl42"/>
    <w:basedOn w:val="Normal"/>
    <w:uiPriority w:val="99"/>
    <w:rsid w:val="00075DB8"/>
    <w:pPr>
      <w:pBdr>
        <w:top w:val="single" w:sz="4" w:space="0" w:color="000000"/>
        <w:left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3">
    <w:name w:val="xl43"/>
    <w:basedOn w:val="Normal"/>
    <w:uiPriority w:val="99"/>
    <w:rsid w:val="00075DB8"/>
    <w:pPr>
      <w:pBdr>
        <w:left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4">
    <w:name w:val="xl44"/>
    <w:basedOn w:val="Normal"/>
    <w:uiPriority w:val="99"/>
    <w:rsid w:val="00075DB8"/>
    <w:pPr>
      <w:pBdr>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5">
    <w:name w:val="xl45"/>
    <w:basedOn w:val="Normal"/>
    <w:uiPriority w:val="99"/>
    <w:rsid w:val="00075DB8"/>
    <w:pPr>
      <w:pBdr>
        <w:bottom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6">
    <w:name w:val="xl46"/>
    <w:basedOn w:val="Normal"/>
    <w:uiPriority w:val="99"/>
    <w:rsid w:val="00075DB8"/>
    <w:pPr>
      <w:pBdr>
        <w:bottom w:val="single" w:sz="12"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7">
    <w:name w:val="xl47"/>
    <w:basedOn w:val="Normal"/>
    <w:uiPriority w:val="99"/>
    <w:rsid w:val="00075DB8"/>
    <w:pPr>
      <w:pBdr>
        <w:top w:val="single" w:sz="12" w:space="0" w:color="000000"/>
        <w:left w:val="single" w:sz="4" w:space="0" w:color="000000"/>
        <w:right w:val="single" w:sz="4" w:space="0" w:color="000000"/>
      </w:pBdr>
      <w:shd w:val="clear" w:color="auto" w:fill="FFFFFF"/>
      <w:spacing w:before="100" w:beforeAutospacing="1" w:after="100" w:afterAutospacing="1"/>
      <w:jc w:val="center"/>
      <w:textAlignment w:val="center"/>
    </w:pPr>
    <w:rPr>
      <w:rFonts w:ascii="Aerial" w:hAnsi="Aerial"/>
      <w:sz w:val="16"/>
      <w:szCs w:val="16"/>
    </w:rPr>
  </w:style>
  <w:style w:type="paragraph" w:customStyle="1" w:styleId="xl48">
    <w:name w:val="xl48"/>
    <w:basedOn w:val="Normal"/>
    <w:uiPriority w:val="99"/>
    <w:rsid w:val="00075DB8"/>
    <w:pPr>
      <w:pBdr>
        <w:top w:val="single" w:sz="12" w:space="0" w:color="auto"/>
        <w:left w:val="single" w:sz="4" w:space="0" w:color="000000"/>
        <w:bottom w:val="single" w:sz="12" w:space="0" w:color="auto"/>
      </w:pBdr>
      <w:shd w:val="clear" w:color="auto" w:fill="FFCC99"/>
      <w:spacing w:before="100" w:beforeAutospacing="1" w:after="100" w:afterAutospacing="1"/>
      <w:jc w:val="center"/>
      <w:textAlignment w:val="center"/>
    </w:pPr>
    <w:rPr>
      <w:rFonts w:ascii="Aerial" w:hAnsi="Aerial"/>
      <w:b/>
      <w:bCs/>
      <w:sz w:val="16"/>
      <w:szCs w:val="16"/>
    </w:rPr>
  </w:style>
  <w:style w:type="paragraph" w:customStyle="1" w:styleId="xl49">
    <w:name w:val="xl49"/>
    <w:basedOn w:val="Normal"/>
    <w:uiPriority w:val="99"/>
    <w:rsid w:val="00075DB8"/>
    <w:pPr>
      <w:pBdr>
        <w:top w:val="single" w:sz="12" w:space="0" w:color="auto"/>
        <w:bottom w:val="single" w:sz="12" w:space="0" w:color="auto"/>
      </w:pBdr>
      <w:shd w:val="clear" w:color="auto" w:fill="FFCC99"/>
      <w:spacing w:before="100" w:beforeAutospacing="1" w:after="100" w:afterAutospacing="1"/>
      <w:jc w:val="center"/>
      <w:textAlignment w:val="center"/>
    </w:pPr>
    <w:rPr>
      <w:rFonts w:ascii="Aerial" w:hAnsi="Aerial"/>
      <w:b/>
      <w:bCs/>
      <w:sz w:val="16"/>
      <w:szCs w:val="16"/>
    </w:rPr>
  </w:style>
  <w:style w:type="paragraph" w:customStyle="1" w:styleId="xl50">
    <w:name w:val="xl50"/>
    <w:basedOn w:val="Normal"/>
    <w:uiPriority w:val="99"/>
    <w:rsid w:val="00075DB8"/>
    <w:pPr>
      <w:pBdr>
        <w:top w:val="single" w:sz="12" w:space="0" w:color="auto"/>
        <w:bottom w:val="single" w:sz="12" w:space="0" w:color="auto"/>
        <w:right w:val="single" w:sz="4" w:space="0" w:color="000000"/>
      </w:pBdr>
      <w:shd w:val="clear" w:color="auto" w:fill="FFCC99"/>
      <w:spacing w:before="100" w:beforeAutospacing="1" w:after="100" w:afterAutospacing="1"/>
      <w:jc w:val="center"/>
      <w:textAlignment w:val="center"/>
    </w:pPr>
    <w:rPr>
      <w:rFonts w:ascii="Aerial" w:hAnsi="Aerial"/>
      <w:b/>
      <w:bCs/>
      <w:sz w:val="16"/>
      <w:szCs w:val="16"/>
    </w:rPr>
  </w:style>
  <w:style w:type="paragraph" w:customStyle="1" w:styleId="xl51">
    <w:name w:val="xl51"/>
    <w:basedOn w:val="Normal"/>
    <w:uiPriority w:val="99"/>
    <w:rsid w:val="00075DB8"/>
    <w:pPr>
      <w:pBdr>
        <w:top w:val="single" w:sz="12" w:space="0" w:color="auto"/>
        <w:left w:val="single" w:sz="4" w:space="0" w:color="000000"/>
        <w:bottom w:val="single" w:sz="12" w:space="0" w:color="auto"/>
      </w:pBdr>
      <w:shd w:val="clear" w:color="auto" w:fill="CCFFCC"/>
      <w:spacing w:before="100" w:beforeAutospacing="1" w:after="100" w:afterAutospacing="1"/>
      <w:jc w:val="center"/>
      <w:textAlignment w:val="center"/>
    </w:pPr>
    <w:rPr>
      <w:rFonts w:ascii="Aerial" w:hAnsi="Aerial"/>
      <w:b/>
      <w:bCs/>
      <w:sz w:val="16"/>
      <w:szCs w:val="16"/>
    </w:rPr>
  </w:style>
  <w:style w:type="paragraph" w:customStyle="1" w:styleId="xl52">
    <w:name w:val="xl52"/>
    <w:basedOn w:val="Normal"/>
    <w:uiPriority w:val="99"/>
    <w:rsid w:val="00075DB8"/>
    <w:pPr>
      <w:pBdr>
        <w:top w:val="single" w:sz="12" w:space="0" w:color="auto"/>
        <w:bottom w:val="single" w:sz="12" w:space="0" w:color="auto"/>
      </w:pBdr>
      <w:shd w:val="clear" w:color="auto" w:fill="CCFFCC"/>
      <w:spacing w:before="100" w:beforeAutospacing="1" w:after="100" w:afterAutospacing="1"/>
      <w:jc w:val="center"/>
      <w:textAlignment w:val="center"/>
    </w:pPr>
    <w:rPr>
      <w:rFonts w:ascii="Aerial" w:hAnsi="Aerial"/>
      <w:b/>
      <w:bCs/>
      <w:sz w:val="16"/>
      <w:szCs w:val="16"/>
    </w:rPr>
  </w:style>
  <w:style w:type="paragraph" w:customStyle="1" w:styleId="xl53">
    <w:name w:val="xl53"/>
    <w:basedOn w:val="Normal"/>
    <w:uiPriority w:val="99"/>
    <w:rsid w:val="00075DB8"/>
    <w:pPr>
      <w:pBdr>
        <w:top w:val="single" w:sz="12" w:space="0" w:color="auto"/>
        <w:bottom w:val="single" w:sz="12" w:space="0" w:color="auto"/>
        <w:right w:val="single" w:sz="4" w:space="0" w:color="000000"/>
      </w:pBdr>
      <w:shd w:val="clear" w:color="auto" w:fill="CCFFCC"/>
      <w:spacing w:before="100" w:beforeAutospacing="1" w:after="100" w:afterAutospacing="1"/>
      <w:jc w:val="center"/>
      <w:textAlignment w:val="center"/>
    </w:pPr>
    <w:rPr>
      <w:rFonts w:ascii="Aerial" w:hAnsi="Aerial"/>
      <w:b/>
      <w:bCs/>
      <w:sz w:val="16"/>
      <w:szCs w:val="16"/>
    </w:rPr>
  </w:style>
  <w:style w:type="paragraph" w:customStyle="1" w:styleId="xl54">
    <w:name w:val="xl54"/>
    <w:basedOn w:val="Normal"/>
    <w:uiPriority w:val="99"/>
    <w:rsid w:val="00075DB8"/>
    <w:pPr>
      <w:pBdr>
        <w:top w:val="single" w:sz="4" w:space="0" w:color="000000"/>
        <w:left w:val="single" w:sz="4" w:space="0" w:color="000000"/>
        <w:right w:val="single" w:sz="4" w:space="0" w:color="000000"/>
      </w:pBdr>
      <w:shd w:val="clear" w:color="auto" w:fill="FFFFFF"/>
      <w:spacing w:before="100" w:beforeAutospacing="1" w:after="100" w:afterAutospacing="1"/>
      <w:jc w:val="center"/>
      <w:textAlignment w:val="center"/>
    </w:pPr>
    <w:rPr>
      <w:rFonts w:ascii="Symbol" w:hAnsi="Symbol"/>
      <w:sz w:val="16"/>
      <w:szCs w:val="16"/>
    </w:rPr>
  </w:style>
  <w:style w:type="paragraph" w:customStyle="1" w:styleId="xl55">
    <w:name w:val="xl55"/>
    <w:basedOn w:val="Normal"/>
    <w:uiPriority w:val="99"/>
    <w:rsid w:val="00075DB8"/>
    <w:pPr>
      <w:pBdr>
        <w:left w:val="single" w:sz="4" w:space="0" w:color="000000"/>
        <w:bottom w:val="single" w:sz="12" w:space="0" w:color="000000"/>
        <w:right w:val="single" w:sz="4" w:space="0" w:color="000000"/>
      </w:pBdr>
      <w:spacing w:before="100" w:beforeAutospacing="1" w:after="100" w:afterAutospacing="1"/>
      <w:jc w:val="center"/>
      <w:textAlignment w:val="center"/>
    </w:pPr>
    <w:rPr>
      <w:szCs w:val="24"/>
    </w:rPr>
  </w:style>
  <w:style w:type="paragraph" w:customStyle="1" w:styleId="xl56">
    <w:name w:val="xl56"/>
    <w:basedOn w:val="Normal"/>
    <w:uiPriority w:val="99"/>
    <w:rsid w:val="00075DB8"/>
    <w:pPr>
      <w:pBdr>
        <w:top w:val="single" w:sz="12" w:space="0" w:color="auto"/>
        <w:bottom w:val="single" w:sz="12" w:space="0" w:color="auto"/>
      </w:pBdr>
      <w:spacing w:before="100" w:beforeAutospacing="1" w:after="100" w:afterAutospacing="1"/>
      <w:textAlignment w:val="center"/>
    </w:pPr>
    <w:rPr>
      <w:rFonts w:ascii="Arial" w:hAnsi="Arial" w:cs="Arial"/>
      <w:b/>
      <w:bCs/>
      <w:szCs w:val="24"/>
    </w:rPr>
  </w:style>
  <w:style w:type="paragraph" w:customStyle="1" w:styleId="xl57">
    <w:name w:val="xl57"/>
    <w:basedOn w:val="Normal"/>
    <w:uiPriority w:val="99"/>
    <w:rsid w:val="00075DB8"/>
    <w:pPr>
      <w:pBdr>
        <w:top w:val="single" w:sz="12" w:space="0" w:color="auto"/>
        <w:left w:val="single" w:sz="4" w:space="0" w:color="auto"/>
        <w:bottom w:val="single" w:sz="12" w:space="0" w:color="auto"/>
        <w:right w:val="single" w:sz="4" w:space="0" w:color="auto"/>
      </w:pBdr>
      <w:shd w:val="clear" w:color="auto" w:fill="FFFF00"/>
      <w:spacing w:before="100" w:beforeAutospacing="1" w:after="100" w:afterAutospacing="1"/>
      <w:jc w:val="center"/>
    </w:pPr>
    <w:rPr>
      <w:szCs w:val="24"/>
    </w:rPr>
  </w:style>
  <w:style w:type="paragraph" w:customStyle="1" w:styleId="FigurelegendTabletitlemultiline">
    <w:name w:val="Figure legend &amp; Table title multiline"/>
    <w:basedOn w:val="Normal"/>
    <w:qFormat/>
    <w:rsid w:val="006A74A8"/>
    <w:pPr>
      <w:spacing w:after="60"/>
    </w:pPr>
    <w:rPr>
      <w:rFonts w:ascii="Arial" w:hAnsi="Arial" w:cs="Arial"/>
      <w:bCs/>
      <w:sz w:val="20"/>
      <w:szCs w:val="20"/>
    </w:rPr>
  </w:style>
  <w:style w:type="paragraph" w:customStyle="1" w:styleId="heatmaplegend">
    <w:name w:val="heat map legend"/>
    <w:basedOn w:val="FigurelegendTabletitlemultiline"/>
    <w:autoRedefine/>
    <w:qFormat/>
    <w:rsid w:val="006A74A8"/>
    <w:pPr>
      <w:spacing w:after="40"/>
    </w:pPr>
  </w:style>
  <w:style w:type="table" w:styleId="TableGrid">
    <w:name w:val="Table Grid"/>
    <w:basedOn w:val="TableNormal"/>
    <w:uiPriority w:val="59"/>
    <w:rsid w:val="00E432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locked/>
    <w:rsid w:val="00417840"/>
    <w:rPr>
      <w:sz w:val="16"/>
      <w:szCs w:val="16"/>
    </w:rPr>
  </w:style>
  <w:style w:type="paragraph" w:styleId="CommentText">
    <w:name w:val="annotation text"/>
    <w:basedOn w:val="Normal"/>
    <w:link w:val="CommentTextChar"/>
    <w:uiPriority w:val="99"/>
    <w:semiHidden/>
    <w:unhideWhenUsed/>
    <w:locked/>
    <w:rsid w:val="00417840"/>
    <w:rPr>
      <w:sz w:val="20"/>
      <w:szCs w:val="20"/>
    </w:rPr>
  </w:style>
  <w:style w:type="character" w:customStyle="1" w:styleId="CommentTextChar">
    <w:name w:val="Comment Text Char"/>
    <w:basedOn w:val="DefaultParagraphFont"/>
    <w:link w:val="CommentText"/>
    <w:uiPriority w:val="99"/>
    <w:semiHidden/>
    <w:rsid w:val="00417840"/>
    <w:rPr>
      <w:rFonts w:ascii="Times New Roman" w:hAnsi="Times New Roman"/>
    </w:rPr>
  </w:style>
  <w:style w:type="paragraph" w:styleId="CommentSubject">
    <w:name w:val="annotation subject"/>
    <w:basedOn w:val="CommentText"/>
    <w:next w:val="CommentText"/>
    <w:link w:val="CommentSubjectChar"/>
    <w:uiPriority w:val="99"/>
    <w:semiHidden/>
    <w:unhideWhenUsed/>
    <w:locked/>
    <w:rsid w:val="002E45C0"/>
    <w:rPr>
      <w:b/>
      <w:bCs/>
    </w:rPr>
  </w:style>
  <w:style w:type="character" w:customStyle="1" w:styleId="CommentSubjectChar">
    <w:name w:val="Comment Subject Char"/>
    <w:basedOn w:val="CommentTextChar"/>
    <w:link w:val="CommentSubject"/>
    <w:uiPriority w:val="99"/>
    <w:semiHidden/>
    <w:rsid w:val="002E45C0"/>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4101">
      <w:bodyDiv w:val="1"/>
      <w:marLeft w:val="0"/>
      <w:marRight w:val="0"/>
      <w:marTop w:val="0"/>
      <w:marBottom w:val="0"/>
      <w:divBdr>
        <w:top w:val="none" w:sz="0" w:space="0" w:color="auto"/>
        <w:left w:val="none" w:sz="0" w:space="0" w:color="auto"/>
        <w:bottom w:val="none" w:sz="0" w:space="0" w:color="auto"/>
        <w:right w:val="none" w:sz="0" w:space="0" w:color="auto"/>
      </w:divBdr>
    </w:div>
    <w:div w:id="201093913">
      <w:bodyDiv w:val="1"/>
      <w:marLeft w:val="0"/>
      <w:marRight w:val="0"/>
      <w:marTop w:val="0"/>
      <w:marBottom w:val="0"/>
      <w:divBdr>
        <w:top w:val="none" w:sz="0" w:space="0" w:color="auto"/>
        <w:left w:val="none" w:sz="0" w:space="0" w:color="auto"/>
        <w:bottom w:val="none" w:sz="0" w:space="0" w:color="auto"/>
        <w:right w:val="none" w:sz="0" w:space="0" w:color="auto"/>
      </w:divBdr>
    </w:div>
    <w:div w:id="398141157">
      <w:bodyDiv w:val="1"/>
      <w:marLeft w:val="0"/>
      <w:marRight w:val="0"/>
      <w:marTop w:val="0"/>
      <w:marBottom w:val="0"/>
      <w:divBdr>
        <w:top w:val="none" w:sz="0" w:space="0" w:color="auto"/>
        <w:left w:val="none" w:sz="0" w:space="0" w:color="auto"/>
        <w:bottom w:val="none" w:sz="0" w:space="0" w:color="auto"/>
        <w:right w:val="none" w:sz="0" w:space="0" w:color="auto"/>
      </w:divBdr>
    </w:div>
    <w:div w:id="466968631">
      <w:bodyDiv w:val="1"/>
      <w:marLeft w:val="0"/>
      <w:marRight w:val="0"/>
      <w:marTop w:val="0"/>
      <w:marBottom w:val="0"/>
      <w:divBdr>
        <w:top w:val="none" w:sz="0" w:space="0" w:color="auto"/>
        <w:left w:val="none" w:sz="0" w:space="0" w:color="auto"/>
        <w:bottom w:val="none" w:sz="0" w:space="0" w:color="auto"/>
        <w:right w:val="none" w:sz="0" w:space="0" w:color="auto"/>
      </w:divBdr>
    </w:div>
    <w:div w:id="494803230">
      <w:bodyDiv w:val="1"/>
      <w:marLeft w:val="0"/>
      <w:marRight w:val="0"/>
      <w:marTop w:val="0"/>
      <w:marBottom w:val="0"/>
      <w:divBdr>
        <w:top w:val="none" w:sz="0" w:space="0" w:color="auto"/>
        <w:left w:val="none" w:sz="0" w:space="0" w:color="auto"/>
        <w:bottom w:val="none" w:sz="0" w:space="0" w:color="auto"/>
        <w:right w:val="none" w:sz="0" w:space="0" w:color="auto"/>
      </w:divBdr>
      <w:divsChild>
        <w:div w:id="2012951927">
          <w:marLeft w:val="0"/>
          <w:marRight w:val="0"/>
          <w:marTop w:val="0"/>
          <w:marBottom w:val="0"/>
          <w:divBdr>
            <w:top w:val="none" w:sz="0" w:space="0" w:color="auto"/>
            <w:left w:val="none" w:sz="0" w:space="0" w:color="auto"/>
            <w:bottom w:val="none" w:sz="0" w:space="0" w:color="auto"/>
            <w:right w:val="none" w:sz="0" w:space="0" w:color="auto"/>
          </w:divBdr>
          <w:divsChild>
            <w:div w:id="1787118523">
              <w:marLeft w:val="0"/>
              <w:marRight w:val="0"/>
              <w:marTop w:val="0"/>
              <w:marBottom w:val="0"/>
              <w:divBdr>
                <w:top w:val="none" w:sz="0" w:space="0" w:color="auto"/>
                <w:left w:val="none" w:sz="0" w:space="0" w:color="auto"/>
                <w:bottom w:val="none" w:sz="0" w:space="0" w:color="auto"/>
                <w:right w:val="none" w:sz="0" w:space="0" w:color="auto"/>
              </w:divBdr>
              <w:divsChild>
                <w:div w:id="383528118">
                  <w:marLeft w:val="0"/>
                  <w:marRight w:val="0"/>
                  <w:marTop w:val="0"/>
                  <w:marBottom w:val="0"/>
                  <w:divBdr>
                    <w:top w:val="none" w:sz="0" w:space="0" w:color="auto"/>
                    <w:left w:val="none" w:sz="0" w:space="0" w:color="auto"/>
                    <w:bottom w:val="none" w:sz="0" w:space="0" w:color="auto"/>
                    <w:right w:val="none" w:sz="0" w:space="0" w:color="auto"/>
                  </w:divBdr>
                  <w:divsChild>
                    <w:div w:id="149698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238219">
      <w:bodyDiv w:val="1"/>
      <w:marLeft w:val="0"/>
      <w:marRight w:val="0"/>
      <w:marTop w:val="0"/>
      <w:marBottom w:val="0"/>
      <w:divBdr>
        <w:top w:val="none" w:sz="0" w:space="0" w:color="auto"/>
        <w:left w:val="none" w:sz="0" w:space="0" w:color="auto"/>
        <w:bottom w:val="none" w:sz="0" w:space="0" w:color="auto"/>
        <w:right w:val="none" w:sz="0" w:space="0" w:color="auto"/>
      </w:divBdr>
    </w:div>
    <w:div w:id="655492679">
      <w:bodyDiv w:val="1"/>
      <w:marLeft w:val="0"/>
      <w:marRight w:val="0"/>
      <w:marTop w:val="0"/>
      <w:marBottom w:val="0"/>
      <w:divBdr>
        <w:top w:val="none" w:sz="0" w:space="0" w:color="auto"/>
        <w:left w:val="none" w:sz="0" w:space="0" w:color="auto"/>
        <w:bottom w:val="none" w:sz="0" w:space="0" w:color="auto"/>
        <w:right w:val="none" w:sz="0" w:space="0" w:color="auto"/>
      </w:divBdr>
      <w:divsChild>
        <w:div w:id="332342699">
          <w:marLeft w:val="0"/>
          <w:marRight w:val="0"/>
          <w:marTop w:val="0"/>
          <w:marBottom w:val="0"/>
          <w:divBdr>
            <w:top w:val="none" w:sz="0" w:space="0" w:color="auto"/>
            <w:left w:val="none" w:sz="0" w:space="0" w:color="auto"/>
            <w:bottom w:val="none" w:sz="0" w:space="0" w:color="auto"/>
            <w:right w:val="none" w:sz="0" w:space="0" w:color="auto"/>
          </w:divBdr>
          <w:divsChild>
            <w:div w:id="1118765837">
              <w:marLeft w:val="0"/>
              <w:marRight w:val="0"/>
              <w:marTop w:val="0"/>
              <w:marBottom w:val="0"/>
              <w:divBdr>
                <w:top w:val="none" w:sz="0" w:space="0" w:color="auto"/>
                <w:left w:val="none" w:sz="0" w:space="0" w:color="auto"/>
                <w:bottom w:val="none" w:sz="0" w:space="0" w:color="auto"/>
                <w:right w:val="none" w:sz="0" w:space="0" w:color="auto"/>
              </w:divBdr>
              <w:divsChild>
                <w:div w:id="1271662297">
                  <w:marLeft w:val="0"/>
                  <w:marRight w:val="0"/>
                  <w:marTop w:val="0"/>
                  <w:marBottom w:val="0"/>
                  <w:divBdr>
                    <w:top w:val="none" w:sz="0" w:space="0" w:color="auto"/>
                    <w:left w:val="none" w:sz="0" w:space="0" w:color="auto"/>
                    <w:bottom w:val="none" w:sz="0" w:space="0" w:color="auto"/>
                    <w:right w:val="none" w:sz="0" w:space="0" w:color="auto"/>
                  </w:divBdr>
                  <w:divsChild>
                    <w:div w:id="135365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26650">
      <w:bodyDiv w:val="1"/>
      <w:marLeft w:val="0"/>
      <w:marRight w:val="0"/>
      <w:marTop w:val="0"/>
      <w:marBottom w:val="0"/>
      <w:divBdr>
        <w:top w:val="none" w:sz="0" w:space="0" w:color="auto"/>
        <w:left w:val="none" w:sz="0" w:space="0" w:color="auto"/>
        <w:bottom w:val="none" w:sz="0" w:space="0" w:color="auto"/>
        <w:right w:val="none" w:sz="0" w:space="0" w:color="auto"/>
      </w:divBdr>
    </w:div>
    <w:div w:id="792942893">
      <w:bodyDiv w:val="1"/>
      <w:marLeft w:val="0"/>
      <w:marRight w:val="0"/>
      <w:marTop w:val="0"/>
      <w:marBottom w:val="0"/>
      <w:divBdr>
        <w:top w:val="none" w:sz="0" w:space="0" w:color="auto"/>
        <w:left w:val="none" w:sz="0" w:space="0" w:color="auto"/>
        <w:bottom w:val="none" w:sz="0" w:space="0" w:color="auto"/>
        <w:right w:val="none" w:sz="0" w:space="0" w:color="auto"/>
      </w:divBdr>
    </w:div>
    <w:div w:id="865408424">
      <w:bodyDiv w:val="1"/>
      <w:marLeft w:val="0"/>
      <w:marRight w:val="0"/>
      <w:marTop w:val="0"/>
      <w:marBottom w:val="0"/>
      <w:divBdr>
        <w:top w:val="none" w:sz="0" w:space="0" w:color="auto"/>
        <w:left w:val="none" w:sz="0" w:space="0" w:color="auto"/>
        <w:bottom w:val="none" w:sz="0" w:space="0" w:color="auto"/>
        <w:right w:val="none" w:sz="0" w:space="0" w:color="auto"/>
      </w:divBdr>
    </w:div>
    <w:div w:id="947614827">
      <w:bodyDiv w:val="1"/>
      <w:marLeft w:val="0"/>
      <w:marRight w:val="0"/>
      <w:marTop w:val="0"/>
      <w:marBottom w:val="0"/>
      <w:divBdr>
        <w:top w:val="none" w:sz="0" w:space="0" w:color="auto"/>
        <w:left w:val="none" w:sz="0" w:space="0" w:color="auto"/>
        <w:bottom w:val="none" w:sz="0" w:space="0" w:color="auto"/>
        <w:right w:val="none" w:sz="0" w:space="0" w:color="auto"/>
      </w:divBdr>
    </w:div>
    <w:div w:id="962030542">
      <w:bodyDiv w:val="1"/>
      <w:marLeft w:val="0"/>
      <w:marRight w:val="0"/>
      <w:marTop w:val="0"/>
      <w:marBottom w:val="0"/>
      <w:divBdr>
        <w:top w:val="none" w:sz="0" w:space="0" w:color="auto"/>
        <w:left w:val="none" w:sz="0" w:space="0" w:color="auto"/>
        <w:bottom w:val="none" w:sz="0" w:space="0" w:color="auto"/>
        <w:right w:val="none" w:sz="0" w:space="0" w:color="auto"/>
      </w:divBdr>
    </w:div>
    <w:div w:id="1005747213">
      <w:bodyDiv w:val="1"/>
      <w:marLeft w:val="0"/>
      <w:marRight w:val="0"/>
      <w:marTop w:val="315"/>
      <w:marBottom w:val="0"/>
      <w:divBdr>
        <w:top w:val="none" w:sz="0" w:space="0" w:color="auto"/>
        <w:left w:val="none" w:sz="0" w:space="0" w:color="auto"/>
        <w:bottom w:val="none" w:sz="0" w:space="0" w:color="auto"/>
        <w:right w:val="none" w:sz="0" w:space="0" w:color="auto"/>
      </w:divBdr>
      <w:divsChild>
        <w:div w:id="1282348505">
          <w:marLeft w:val="0"/>
          <w:marRight w:val="0"/>
          <w:marTop w:val="0"/>
          <w:marBottom w:val="0"/>
          <w:divBdr>
            <w:top w:val="none" w:sz="0" w:space="0" w:color="auto"/>
            <w:left w:val="none" w:sz="0" w:space="0" w:color="auto"/>
            <w:bottom w:val="none" w:sz="0" w:space="0" w:color="auto"/>
            <w:right w:val="none" w:sz="0" w:space="0" w:color="auto"/>
          </w:divBdr>
        </w:div>
      </w:divsChild>
    </w:div>
    <w:div w:id="1047946128">
      <w:bodyDiv w:val="1"/>
      <w:marLeft w:val="0"/>
      <w:marRight w:val="0"/>
      <w:marTop w:val="0"/>
      <w:marBottom w:val="0"/>
      <w:divBdr>
        <w:top w:val="none" w:sz="0" w:space="0" w:color="auto"/>
        <w:left w:val="none" w:sz="0" w:space="0" w:color="auto"/>
        <w:bottom w:val="none" w:sz="0" w:space="0" w:color="auto"/>
        <w:right w:val="none" w:sz="0" w:space="0" w:color="auto"/>
      </w:divBdr>
    </w:div>
    <w:div w:id="1174756911">
      <w:bodyDiv w:val="1"/>
      <w:marLeft w:val="0"/>
      <w:marRight w:val="0"/>
      <w:marTop w:val="0"/>
      <w:marBottom w:val="0"/>
      <w:divBdr>
        <w:top w:val="none" w:sz="0" w:space="0" w:color="auto"/>
        <w:left w:val="none" w:sz="0" w:space="0" w:color="auto"/>
        <w:bottom w:val="none" w:sz="0" w:space="0" w:color="auto"/>
        <w:right w:val="none" w:sz="0" w:space="0" w:color="auto"/>
      </w:divBdr>
    </w:div>
    <w:div w:id="1175418384">
      <w:bodyDiv w:val="1"/>
      <w:marLeft w:val="0"/>
      <w:marRight w:val="0"/>
      <w:marTop w:val="0"/>
      <w:marBottom w:val="0"/>
      <w:divBdr>
        <w:top w:val="none" w:sz="0" w:space="0" w:color="auto"/>
        <w:left w:val="none" w:sz="0" w:space="0" w:color="auto"/>
        <w:bottom w:val="none" w:sz="0" w:space="0" w:color="auto"/>
        <w:right w:val="none" w:sz="0" w:space="0" w:color="auto"/>
      </w:divBdr>
    </w:div>
    <w:div w:id="1238517874">
      <w:bodyDiv w:val="1"/>
      <w:marLeft w:val="0"/>
      <w:marRight w:val="0"/>
      <w:marTop w:val="0"/>
      <w:marBottom w:val="0"/>
      <w:divBdr>
        <w:top w:val="none" w:sz="0" w:space="0" w:color="auto"/>
        <w:left w:val="none" w:sz="0" w:space="0" w:color="auto"/>
        <w:bottom w:val="none" w:sz="0" w:space="0" w:color="auto"/>
        <w:right w:val="none" w:sz="0" w:space="0" w:color="auto"/>
      </w:divBdr>
    </w:div>
    <w:div w:id="1405224352">
      <w:bodyDiv w:val="1"/>
      <w:marLeft w:val="0"/>
      <w:marRight w:val="0"/>
      <w:marTop w:val="0"/>
      <w:marBottom w:val="0"/>
      <w:divBdr>
        <w:top w:val="none" w:sz="0" w:space="0" w:color="auto"/>
        <w:left w:val="none" w:sz="0" w:space="0" w:color="auto"/>
        <w:bottom w:val="none" w:sz="0" w:space="0" w:color="auto"/>
        <w:right w:val="none" w:sz="0" w:space="0" w:color="auto"/>
      </w:divBdr>
    </w:div>
    <w:div w:id="1416786607">
      <w:bodyDiv w:val="1"/>
      <w:marLeft w:val="0"/>
      <w:marRight w:val="0"/>
      <w:marTop w:val="0"/>
      <w:marBottom w:val="0"/>
      <w:divBdr>
        <w:top w:val="none" w:sz="0" w:space="0" w:color="auto"/>
        <w:left w:val="none" w:sz="0" w:space="0" w:color="auto"/>
        <w:bottom w:val="none" w:sz="0" w:space="0" w:color="auto"/>
        <w:right w:val="none" w:sz="0" w:space="0" w:color="auto"/>
      </w:divBdr>
    </w:div>
    <w:div w:id="1524319281">
      <w:bodyDiv w:val="1"/>
      <w:marLeft w:val="0"/>
      <w:marRight w:val="0"/>
      <w:marTop w:val="0"/>
      <w:marBottom w:val="0"/>
      <w:divBdr>
        <w:top w:val="none" w:sz="0" w:space="0" w:color="auto"/>
        <w:left w:val="none" w:sz="0" w:space="0" w:color="auto"/>
        <w:bottom w:val="none" w:sz="0" w:space="0" w:color="auto"/>
        <w:right w:val="none" w:sz="0" w:space="0" w:color="auto"/>
      </w:divBdr>
    </w:div>
    <w:div w:id="1584223755">
      <w:bodyDiv w:val="1"/>
      <w:marLeft w:val="0"/>
      <w:marRight w:val="0"/>
      <w:marTop w:val="0"/>
      <w:marBottom w:val="0"/>
      <w:divBdr>
        <w:top w:val="none" w:sz="0" w:space="0" w:color="auto"/>
        <w:left w:val="none" w:sz="0" w:space="0" w:color="auto"/>
        <w:bottom w:val="none" w:sz="0" w:space="0" w:color="auto"/>
        <w:right w:val="none" w:sz="0" w:space="0" w:color="auto"/>
      </w:divBdr>
      <w:divsChild>
        <w:div w:id="834958770">
          <w:marLeft w:val="0"/>
          <w:marRight w:val="0"/>
          <w:marTop w:val="0"/>
          <w:marBottom w:val="0"/>
          <w:divBdr>
            <w:top w:val="none" w:sz="0" w:space="0" w:color="auto"/>
            <w:left w:val="none" w:sz="0" w:space="0" w:color="auto"/>
            <w:bottom w:val="none" w:sz="0" w:space="0" w:color="auto"/>
            <w:right w:val="none" w:sz="0" w:space="0" w:color="auto"/>
          </w:divBdr>
          <w:divsChild>
            <w:div w:id="175652990">
              <w:marLeft w:val="0"/>
              <w:marRight w:val="0"/>
              <w:marTop w:val="0"/>
              <w:marBottom w:val="0"/>
              <w:divBdr>
                <w:top w:val="none" w:sz="0" w:space="0" w:color="auto"/>
                <w:left w:val="none" w:sz="0" w:space="0" w:color="auto"/>
                <w:bottom w:val="none" w:sz="0" w:space="0" w:color="auto"/>
                <w:right w:val="none" w:sz="0" w:space="0" w:color="auto"/>
              </w:divBdr>
              <w:divsChild>
                <w:div w:id="645010780">
                  <w:marLeft w:val="0"/>
                  <w:marRight w:val="0"/>
                  <w:marTop w:val="0"/>
                  <w:marBottom w:val="0"/>
                  <w:divBdr>
                    <w:top w:val="none" w:sz="0" w:space="0" w:color="auto"/>
                    <w:left w:val="none" w:sz="0" w:space="0" w:color="auto"/>
                    <w:bottom w:val="none" w:sz="0" w:space="0" w:color="auto"/>
                    <w:right w:val="none" w:sz="0" w:space="0" w:color="auto"/>
                  </w:divBdr>
                  <w:divsChild>
                    <w:div w:id="77378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13348">
      <w:bodyDiv w:val="1"/>
      <w:marLeft w:val="0"/>
      <w:marRight w:val="0"/>
      <w:marTop w:val="0"/>
      <w:marBottom w:val="0"/>
      <w:divBdr>
        <w:top w:val="none" w:sz="0" w:space="0" w:color="auto"/>
        <w:left w:val="none" w:sz="0" w:space="0" w:color="auto"/>
        <w:bottom w:val="none" w:sz="0" w:space="0" w:color="auto"/>
        <w:right w:val="none" w:sz="0" w:space="0" w:color="auto"/>
      </w:divBdr>
    </w:div>
    <w:div w:id="1669284403">
      <w:bodyDiv w:val="1"/>
      <w:marLeft w:val="0"/>
      <w:marRight w:val="0"/>
      <w:marTop w:val="0"/>
      <w:marBottom w:val="0"/>
      <w:divBdr>
        <w:top w:val="none" w:sz="0" w:space="0" w:color="auto"/>
        <w:left w:val="none" w:sz="0" w:space="0" w:color="auto"/>
        <w:bottom w:val="none" w:sz="0" w:space="0" w:color="auto"/>
        <w:right w:val="none" w:sz="0" w:space="0" w:color="auto"/>
      </w:divBdr>
    </w:div>
    <w:div w:id="1773238849">
      <w:bodyDiv w:val="1"/>
      <w:marLeft w:val="0"/>
      <w:marRight w:val="0"/>
      <w:marTop w:val="0"/>
      <w:marBottom w:val="0"/>
      <w:divBdr>
        <w:top w:val="none" w:sz="0" w:space="0" w:color="auto"/>
        <w:left w:val="none" w:sz="0" w:space="0" w:color="auto"/>
        <w:bottom w:val="none" w:sz="0" w:space="0" w:color="auto"/>
        <w:right w:val="none" w:sz="0" w:space="0" w:color="auto"/>
      </w:divBdr>
    </w:div>
    <w:div w:id="1845510021">
      <w:bodyDiv w:val="1"/>
      <w:marLeft w:val="0"/>
      <w:marRight w:val="0"/>
      <w:marTop w:val="0"/>
      <w:marBottom w:val="0"/>
      <w:divBdr>
        <w:top w:val="none" w:sz="0" w:space="0" w:color="auto"/>
        <w:left w:val="none" w:sz="0" w:space="0" w:color="auto"/>
        <w:bottom w:val="none" w:sz="0" w:space="0" w:color="auto"/>
        <w:right w:val="none" w:sz="0" w:space="0" w:color="auto"/>
      </w:divBdr>
    </w:div>
    <w:div w:id="1852985623">
      <w:marLeft w:val="0"/>
      <w:marRight w:val="0"/>
      <w:marTop w:val="0"/>
      <w:marBottom w:val="0"/>
      <w:divBdr>
        <w:top w:val="none" w:sz="0" w:space="0" w:color="auto"/>
        <w:left w:val="none" w:sz="0" w:space="0" w:color="auto"/>
        <w:bottom w:val="none" w:sz="0" w:space="0" w:color="auto"/>
        <w:right w:val="none" w:sz="0" w:space="0" w:color="auto"/>
      </w:divBdr>
      <w:divsChild>
        <w:div w:id="1852985624">
          <w:marLeft w:val="0"/>
          <w:marRight w:val="0"/>
          <w:marTop w:val="0"/>
          <w:marBottom w:val="0"/>
          <w:divBdr>
            <w:top w:val="none" w:sz="0" w:space="0" w:color="auto"/>
            <w:left w:val="none" w:sz="0" w:space="0" w:color="auto"/>
            <w:bottom w:val="none" w:sz="0" w:space="0" w:color="auto"/>
            <w:right w:val="none" w:sz="0" w:space="0" w:color="auto"/>
          </w:divBdr>
          <w:divsChild>
            <w:div w:id="18529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27">
      <w:marLeft w:val="0"/>
      <w:marRight w:val="0"/>
      <w:marTop w:val="0"/>
      <w:marBottom w:val="0"/>
      <w:divBdr>
        <w:top w:val="none" w:sz="0" w:space="0" w:color="auto"/>
        <w:left w:val="none" w:sz="0" w:space="0" w:color="auto"/>
        <w:bottom w:val="none" w:sz="0" w:space="0" w:color="auto"/>
        <w:right w:val="none" w:sz="0" w:space="0" w:color="auto"/>
      </w:divBdr>
      <w:divsChild>
        <w:div w:id="1852985625">
          <w:marLeft w:val="0"/>
          <w:marRight w:val="0"/>
          <w:marTop w:val="0"/>
          <w:marBottom w:val="0"/>
          <w:divBdr>
            <w:top w:val="none" w:sz="0" w:space="0" w:color="auto"/>
            <w:left w:val="none" w:sz="0" w:space="0" w:color="auto"/>
            <w:bottom w:val="none" w:sz="0" w:space="0" w:color="auto"/>
            <w:right w:val="none" w:sz="0" w:space="0" w:color="auto"/>
          </w:divBdr>
        </w:div>
      </w:divsChild>
    </w:div>
    <w:div w:id="1852985644">
      <w:marLeft w:val="0"/>
      <w:marRight w:val="0"/>
      <w:marTop w:val="0"/>
      <w:marBottom w:val="0"/>
      <w:divBdr>
        <w:top w:val="none" w:sz="0" w:space="0" w:color="auto"/>
        <w:left w:val="none" w:sz="0" w:space="0" w:color="auto"/>
        <w:bottom w:val="none" w:sz="0" w:space="0" w:color="auto"/>
        <w:right w:val="none" w:sz="0" w:space="0" w:color="auto"/>
      </w:divBdr>
      <w:divsChild>
        <w:div w:id="1852985628">
          <w:marLeft w:val="0"/>
          <w:marRight w:val="0"/>
          <w:marTop w:val="0"/>
          <w:marBottom w:val="0"/>
          <w:divBdr>
            <w:top w:val="none" w:sz="0" w:space="0" w:color="auto"/>
            <w:left w:val="none" w:sz="0" w:space="0" w:color="auto"/>
            <w:bottom w:val="none" w:sz="0" w:space="0" w:color="auto"/>
            <w:right w:val="none" w:sz="0" w:space="0" w:color="auto"/>
          </w:divBdr>
          <w:divsChild>
            <w:div w:id="1852985629">
              <w:marLeft w:val="0"/>
              <w:marRight w:val="0"/>
              <w:marTop w:val="0"/>
              <w:marBottom w:val="0"/>
              <w:divBdr>
                <w:top w:val="none" w:sz="0" w:space="0" w:color="auto"/>
                <w:left w:val="none" w:sz="0" w:space="0" w:color="auto"/>
                <w:bottom w:val="none" w:sz="0" w:space="0" w:color="auto"/>
                <w:right w:val="none" w:sz="0" w:space="0" w:color="auto"/>
              </w:divBdr>
            </w:div>
            <w:div w:id="1852985630">
              <w:marLeft w:val="0"/>
              <w:marRight w:val="0"/>
              <w:marTop w:val="0"/>
              <w:marBottom w:val="0"/>
              <w:divBdr>
                <w:top w:val="none" w:sz="0" w:space="0" w:color="auto"/>
                <w:left w:val="none" w:sz="0" w:space="0" w:color="auto"/>
                <w:bottom w:val="none" w:sz="0" w:space="0" w:color="auto"/>
                <w:right w:val="none" w:sz="0" w:space="0" w:color="auto"/>
              </w:divBdr>
            </w:div>
            <w:div w:id="1852985633">
              <w:marLeft w:val="0"/>
              <w:marRight w:val="0"/>
              <w:marTop w:val="0"/>
              <w:marBottom w:val="0"/>
              <w:divBdr>
                <w:top w:val="none" w:sz="0" w:space="0" w:color="auto"/>
                <w:left w:val="none" w:sz="0" w:space="0" w:color="auto"/>
                <w:bottom w:val="none" w:sz="0" w:space="0" w:color="auto"/>
                <w:right w:val="none" w:sz="0" w:space="0" w:color="auto"/>
              </w:divBdr>
            </w:div>
            <w:div w:id="1852985636">
              <w:marLeft w:val="0"/>
              <w:marRight w:val="0"/>
              <w:marTop w:val="0"/>
              <w:marBottom w:val="0"/>
              <w:divBdr>
                <w:top w:val="none" w:sz="0" w:space="0" w:color="auto"/>
                <w:left w:val="none" w:sz="0" w:space="0" w:color="auto"/>
                <w:bottom w:val="none" w:sz="0" w:space="0" w:color="auto"/>
                <w:right w:val="none" w:sz="0" w:space="0" w:color="auto"/>
              </w:divBdr>
            </w:div>
            <w:div w:id="1852985637">
              <w:marLeft w:val="0"/>
              <w:marRight w:val="0"/>
              <w:marTop w:val="0"/>
              <w:marBottom w:val="0"/>
              <w:divBdr>
                <w:top w:val="none" w:sz="0" w:space="0" w:color="auto"/>
                <w:left w:val="none" w:sz="0" w:space="0" w:color="auto"/>
                <w:bottom w:val="none" w:sz="0" w:space="0" w:color="auto"/>
                <w:right w:val="none" w:sz="0" w:space="0" w:color="auto"/>
              </w:divBdr>
            </w:div>
            <w:div w:id="1852985638">
              <w:marLeft w:val="0"/>
              <w:marRight w:val="0"/>
              <w:marTop w:val="0"/>
              <w:marBottom w:val="0"/>
              <w:divBdr>
                <w:top w:val="none" w:sz="0" w:space="0" w:color="auto"/>
                <w:left w:val="none" w:sz="0" w:space="0" w:color="auto"/>
                <w:bottom w:val="none" w:sz="0" w:space="0" w:color="auto"/>
                <w:right w:val="none" w:sz="0" w:space="0" w:color="auto"/>
              </w:divBdr>
            </w:div>
            <w:div w:id="1852985646">
              <w:marLeft w:val="0"/>
              <w:marRight w:val="0"/>
              <w:marTop w:val="0"/>
              <w:marBottom w:val="0"/>
              <w:divBdr>
                <w:top w:val="none" w:sz="0" w:space="0" w:color="auto"/>
                <w:left w:val="none" w:sz="0" w:space="0" w:color="auto"/>
                <w:bottom w:val="none" w:sz="0" w:space="0" w:color="auto"/>
                <w:right w:val="none" w:sz="0" w:space="0" w:color="auto"/>
              </w:divBdr>
            </w:div>
            <w:div w:id="1852985647">
              <w:marLeft w:val="0"/>
              <w:marRight w:val="0"/>
              <w:marTop w:val="0"/>
              <w:marBottom w:val="0"/>
              <w:divBdr>
                <w:top w:val="none" w:sz="0" w:space="0" w:color="auto"/>
                <w:left w:val="none" w:sz="0" w:space="0" w:color="auto"/>
                <w:bottom w:val="none" w:sz="0" w:space="0" w:color="auto"/>
                <w:right w:val="none" w:sz="0" w:space="0" w:color="auto"/>
              </w:divBdr>
            </w:div>
            <w:div w:id="1852985648">
              <w:marLeft w:val="0"/>
              <w:marRight w:val="0"/>
              <w:marTop w:val="0"/>
              <w:marBottom w:val="0"/>
              <w:divBdr>
                <w:top w:val="none" w:sz="0" w:space="0" w:color="auto"/>
                <w:left w:val="none" w:sz="0" w:space="0" w:color="auto"/>
                <w:bottom w:val="none" w:sz="0" w:space="0" w:color="auto"/>
                <w:right w:val="none" w:sz="0" w:space="0" w:color="auto"/>
              </w:divBdr>
            </w:div>
            <w:div w:id="1852985652">
              <w:marLeft w:val="0"/>
              <w:marRight w:val="0"/>
              <w:marTop w:val="0"/>
              <w:marBottom w:val="0"/>
              <w:divBdr>
                <w:top w:val="none" w:sz="0" w:space="0" w:color="auto"/>
                <w:left w:val="none" w:sz="0" w:space="0" w:color="auto"/>
                <w:bottom w:val="none" w:sz="0" w:space="0" w:color="auto"/>
                <w:right w:val="none" w:sz="0" w:space="0" w:color="auto"/>
              </w:divBdr>
            </w:div>
            <w:div w:id="18529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50">
      <w:marLeft w:val="0"/>
      <w:marRight w:val="0"/>
      <w:marTop w:val="0"/>
      <w:marBottom w:val="0"/>
      <w:divBdr>
        <w:top w:val="none" w:sz="0" w:space="0" w:color="auto"/>
        <w:left w:val="none" w:sz="0" w:space="0" w:color="auto"/>
        <w:bottom w:val="none" w:sz="0" w:space="0" w:color="auto"/>
        <w:right w:val="none" w:sz="0" w:space="0" w:color="auto"/>
      </w:divBdr>
      <w:divsChild>
        <w:div w:id="1852985642">
          <w:marLeft w:val="0"/>
          <w:marRight w:val="0"/>
          <w:marTop w:val="0"/>
          <w:marBottom w:val="0"/>
          <w:divBdr>
            <w:top w:val="none" w:sz="0" w:space="0" w:color="auto"/>
            <w:left w:val="none" w:sz="0" w:space="0" w:color="auto"/>
            <w:bottom w:val="none" w:sz="0" w:space="0" w:color="auto"/>
            <w:right w:val="none" w:sz="0" w:space="0" w:color="auto"/>
          </w:divBdr>
          <w:divsChild>
            <w:div w:id="1852985631">
              <w:marLeft w:val="0"/>
              <w:marRight w:val="0"/>
              <w:marTop w:val="0"/>
              <w:marBottom w:val="0"/>
              <w:divBdr>
                <w:top w:val="none" w:sz="0" w:space="0" w:color="auto"/>
                <w:left w:val="none" w:sz="0" w:space="0" w:color="auto"/>
                <w:bottom w:val="none" w:sz="0" w:space="0" w:color="auto"/>
                <w:right w:val="none" w:sz="0" w:space="0" w:color="auto"/>
              </w:divBdr>
            </w:div>
            <w:div w:id="1852985632">
              <w:marLeft w:val="0"/>
              <w:marRight w:val="0"/>
              <w:marTop w:val="0"/>
              <w:marBottom w:val="0"/>
              <w:divBdr>
                <w:top w:val="none" w:sz="0" w:space="0" w:color="auto"/>
                <w:left w:val="none" w:sz="0" w:space="0" w:color="auto"/>
                <w:bottom w:val="none" w:sz="0" w:space="0" w:color="auto"/>
                <w:right w:val="none" w:sz="0" w:space="0" w:color="auto"/>
              </w:divBdr>
            </w:div>
            <w:div w:id="1852985634">
              <w:marLeft w:val="0"/>
              <w:marRight w:val="0"/>
              <w:marTop w:val="0"/>
              <w:marBottom w:val="0"/>
              <w:divBdr>
                <w:top w:val="none" w:sz="0" w:space="0" w:color="auto"/>
                <w:left w:val="none" w:sz="0" w:space="0" w:color="auto"/>
                <w:bottom w:val="none" w:sz="0" w:space="0" w:color="auto"/>
                <w:right w:val="none" w:sz="0" w:space="0" w:color="auto"/>
              </w:divBdr>
            </w:div>
            <w:div w:id="1852985635">
              <w:marLeft w:val="0"/>
              <w:marRight w:val="0"/>
              <w:marTop w:val="0"/>
              <w:marBottom w:val="0"/>
              <w:divBdr>
                <w:top w:val="none" w:sz="0" w:space="0" w:color="auto"/>
                <w:left w:val="none" w:sz="0" w:space="0" w:color="auto"/>
                <w:bottom w:val="none" w:sz="0" w:space="0" w:color="auto"/>
                <w:right w:val="none" w:sz="0" w:space="0" w:color="auto"/>
              </w:divBdr>
            </w:div>
            <w:div w:id="1852985639">
              <w:marLeft w:val="0"/>
              <w:marRight w:val="0"/>
              <w:marTop w:val="0"/>
              <w:marBottom w:val="0"/>
              <w:divBdr>
                <w:top w:val="none" w:sz="0" w:space="0" w:color="auto"/>
                <w:left w:val="none" w:sz="0" w:space="0" w:color="auto"/>
                <w:bottom w:val="none" w:sz="0" w:space="0" w:color="auto"/>
                <w:right w:val="none" w:sz="0" w:space="0" w:color="auto"/>
              </w:divBdr>
            </w:div>
            <w:div w:id="1852985640">
              <w:marLeft w:val="0"/>
              <w:marRight w:val="0"/>
              <w:marTop w:val="0"/>
              <w:marBottom w:val="0"/>
              <w:divBdr>
                <w:top w:val="none" w:sz="0" w:space="0" w:color="auto"/>
                <w:left w:val="none" w:sz="0" w:space="0" w:color="auto"/>
                <w:bottom w:val="none" w:sz="0" w:space="0" w:color="auto"/>
                <w:right w:val="none" w:sz="0" w:space="0" w:color="auto"/>
              </w:divBdr>
            </w:div>
            <w:div w:id="1852985641">
              <w:marLeft w:val="0"/>
              <w:marRight w:val="0"/>
              <w:marTop w:val="0"/>
              <w:marBottom w:val="0"/>
              <w:divBdr>
                <w:top w:val="none" w:sz="0" w:space="0" w:color="auto"/>
                <w:left w:val="none" w:sz="0" w:space="0" w:color="auto"/>
                <w:bottom w:val="none" w:sz="0" w:space="0" w:color="auto"/>
                <w:right w:val="none" w:sz="0" w:space="0" w:color="auto"/>
              </w:divBdr>
            </w:div>
            <w:div w:id="1852985643">
              <w:marLeft w:val="0"/>
              <w:marRight w:val="0"/>
              <w:marTop w:val="0"/>
              <w:marBottom w:val="0"/>
              <w:divBdr>
                <w:top w:val="none" w:sz="0" w:space="0" w:color="auto"/>
                <w:left w:val="none" w:sz="0" w:space="0" w:color="auto"/>
                <w:bottom w:val="none" w:sz="0" w:space="0" w:color="auto"/>
                <w:right w:val="none" w:sz="0" w:space="0" w:color="auto"/>
              </w:divBdr>
            </w:div>
            <w:div w:id="1852985645">
              <w:marLeft w:val="0"/>
              <w:marRight w:val="0"/>
              <w:marTop w:val="0"/>
              <w:marBottom w:val="0"/>
              <w:divBdr>
                <w:top w:val="none" w:sz="0" w:space="0" w:color="auto"/>
                <w:left w:val="none" w:sz="0" w:space="0" w:color="auto"/>
                <w:bottom w:val="none" w:sz="0" w:space="0" w:color="auto"/>
                <w:right w:val="none" w:sz="0" w:space="0" w:color="auto"/>
              </w:divBdr>
            </w:div>
            <w:div w:id="1852985649">
              <w:marLeft w:val="0"/>
              <w:marRight w:val="0"/>
              <w:marTop w:val="0"/>
              <w:marBottom w:val="0"/>
              <w:divBdr>
                <w:top w:val="none" w:sz="0" w:space="0" w:color="auto"/>
                <w:left w:val="none" w:sz="0" w:space="0" w:color="auto"/>
                <w:bottom w:val="none" w:sz="0" w:space="0" w:color="auto"/>
                <w:right w:val="none" w:sz="0" w:space="0" w:color="auto"/>
              </w:divBdr>
            </w:div>
            <w:div w:id="1852985651">
              <w:marLeft w:val="0"/>
              <w:marRight w:val="0"/>
              <w:marTop w:val="0"/>
              <w:marBottom w:val="0"/>
              <w:divBdr>
                <w:top w:val="none" w:sz="0" w:space="0" w:color="auto"/>
                <w:left w:val="none" w:sz="0" w:space="0" w:color="auto"/>
                <w:bottom w:val="none" w:sz="0" w:space="0" w:color="auto"/>
                <w:right w:val="none" w:sz="0" w:space="0" w:color="auto"/>
              </w:divBdr>
            </w:div>
            <w:div w:id="1852985653">
              <w:marLeft w:val="0"/>
              <w:marRight w:val="0"/>
              <w:marTop w:val="0"/>
              <w:marBottom w:val="0"/>
              <w:divBdr>
                <w:top w:val="none" w:sz="0" w:space="0" w:color="auto"/>
                <w:left w:val="none" w:sz="0" w:space="0" w:color="auto"/>
                <w:bottom w:val="none" w:sz="0" w:space="0" w:color="auto"/>
                <w:right w:val="none" w:sz="0" w:space="0" w:color="auto"/>
              </w:divBdr>
            </w:div>
            <w:div w:id="185298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56">
      <w:marLeft w:val="0"/>
      <w:marRight w:val="0"/>
      <w:marTop w:val="0"/>
      <w:marBottom w:val="0"/>
      <w:divBdr>
        <w:top w:val="none" w:sz="0" w:space="0" w:color="auto"/>
        <w:left w:val="none" w:sz="0" w:space="0" w:color="auto"/>
        <w:bottom w:val="none" w:sz="0" w:space="0" w:color="auto"/>
        <w:right w:val="none" w:sz="0" w:space="0" w:color="auto"/>
      </w:divBdr>
      <w:divsChild>
        <w:div w:id="1852985658">
          <w:marLeft w:val="0"/>
          <w:marRight w:val="0"/>
          <w:marTop w:val="0"/>
          <w:marBottom w:val="0"/>
          <w:divBdr>
            <w:top w:val="none" w:sz="0" w:space="0" w:color="auto"/>
            <w:left w:val="none" w:sz="0" w:space="0" w:color="auto"/>
            <w:bottom w:val="none" w:sz="0" w:space="0" w:color="auto"/>
            <w:right w:val="none" w:sz="0" w:space="0" w:color="auto"/>
          </w:divBdr>
        </w:div>
      </w:divsChild>
    </w:div>
    <w:div w:id="1852985659">
      <w:marLeft w:val="0"/>
      <w:marRight w:val="0"/>
      <w:marTop w:val="0"/>
      <w:marBottom w:val="0"/>
      <w:divBdr>
        <w:top w:val="none" w:sz="0" w:space="0" w:color="auto"/>
        <w:left w:val="none" w:sz="0" w:space="0" w:color="auto"/>
        <w:bottom w:val="none" w:sz="0" w:space="0" w:color="auto"/>
        <w:right w:val="none" w:sz="0" w:space="0" w:color="auto"/>
      </w:divBdr>
      <w:divsChild>
        <w:div w:id="1852985686">
          <w:marLeft w:val="0"/>
          <w:marRight w:val="0"/>
          <w:marTop w:val="0"/>
          <w:marBottom w:val="0"/>
          <w:divBdr>
            <w:top w:val="none" w:sz="0" w:space="0" w:color="auto"/>
            <w:left w:val="none" w:sz="0" w:space="0" w:color="auto"/>
            <w:bottom w:val="none" w:sz="0" w:space="0" w:color="auto"/>
            <w:right w:val="none" w:sz="0" w:space="0" w:color="auto"/>
          </w:divBdr>
        </w:div>
      </w:divsChild>
    </w:div>
    <w:div w:id="1852985664">
      <w:marLeft w:val="0"/>
      <w:marRight w:val="0"/>
      <w:marTop w:val="0"/>
      <w:marBottom w:val="0"/>
      <w:divBdr>
        <w:top w:val="none" w:sz="0" w:space="0" w:color="auto"/>
        <w:left w:val="none" w:sz="0" w:space="0" w:color="auto"/>
        <w:bottom w:val="none" w:sz="0" w:space="0" w:color="auto"/>
        <w:right w:val="none" w:sz="0" w:space="0" w:color="auto"/>
      </w:divBdr>
    </w:div>
    <w:div w:id="1852985665">
      <w:marLeft w:val="0"/>
      <w:marRight w:val="0"/>
      <w:marTop w:val="0"/>
      <w:marBottom w:val="0"/>
      <w:divBdr>
        <w:top w:val="none" w:sz="0" w:space="0" w:color="auto"/>
        <w:left w:val="none" w:sz="0" w:space="0" w:color="auto"/>
        <w:bottom w:val="none" w:sz="0" w:space="0" w:color="auto"/>
        <w:right w:val="none" w:sz="0" w:space="0" w:color="auto"/>
      </w:divBdr>
      <w:divsChild>
        <w:div w:id="1852985672">
          <w:marLeft w:val="0"/>
          <w:marRight w:val="0"/>
          <w:marTop w:val="0"/>
          <w:marBottom w:val="0"/>
          <w:divBdr>
            <w:top w:val="none" w:sz="0" w:space="0" w:color="auto"/>
            <w:left w:val="none" w:sz="0" w:space="0" w:color="auto"/>
            <w:bottom w:val="none" w:sz="0" w:space="0" w:color="auto"/>
            <w:right w:val="none" w:sz="0" w:space="0" w:color="auto"/>
          </w:divBdr>
        </w:div>
      </w:divsChild>
    </w:div>
    <w:div w:id="1852985669">
      <w:marLeft w:val="0"/>
      <w:marRight w:val="0"/>
      <w:marTop w:val="0"/>
      <w:marBottom w:val="0"/>
      <w:divBdr>
        <w:top w:val="none" w:sz="0" w:space="0" w:color="auto"/>
        <w:left w:val="none" w:sz="0" w:space="0" w:color="auto"/>
        <w:bottom w:val="none" w:sz="0" w:space="0" w:color="auto"/>
        <w:right w:val="none" w:sz="0" w:space="0" w:color="auto"/>
      </w:divBdr>
      <w:divsChild>
        <w:div w:id="1852985667">
          <w:marLeft w:val="0"/>
          <w:marRight w:val="0"/>
          <w:marTop w:val="0"/>
          <w:marBottom w:val="0"/>
          <w:divBdr>
            <w:top w:val="none" w:sz="0" w:space="0" w:color="auto"/>
            <w:left w:val="none" w:sz="0" w:space="0" w:color="auto"/>
            <w:bottom w:val="none" w:sz="0" w:space="0" w:color="auto"/>
            <w:right w:val="none" w:sz="0" w:space="0" w:color="auto"/>
          </w:divBdr>
          <w:divsChild>
            <w:div w:id="1852985666">
              <w:marLeft w:val="0"/>
              <w:marRight w:val="0"/>
              <w:marTop w:val="0"/>
              <w:marBottom w:val="0"/>
              <w:divBdr>
                <w:top w:val="none" w:sz="0" w:space="0" w:color="auto"/>
                <w:left w:val="none" w:sz="0" w:space="0" w:color="auto"/>
                <w:bottom w:val="none" w:sz="0" w:space="0" w:color="auto"/>
                <w:right w:val="none" w:sz="0" w:space="0" w:color="auto"/>
              </w:divBdr>
            </w:div>
            <w:div w:id="18529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75">
      <w:marLeft w:val="0"/>
      <w:marRight w:val="0"/>
      <w:marTop w:val="0"/>
      <w:marBottom w:val="0"/>
      <w:divBdr>
        <w:top w:val="none" w:sz="0" w:space="0" w:color="auto"/>
        <w:left w:val="none" w:sz="0" w:space="0" w:color="auto"/>
        <w:bottom w:val="none" w:sz="0" w:space="0" w:color="auto"/>
        <w:right w:val="none" w:sz="0" w:space="0" w:color="auto"/>
      </w:divBdr>
      <w:divsChild>
        <w:div w:id="1852985680">
          <w:marLeft w:val="0"/>
          <w:marRight w:val="0"/>
          <w:marTop w:val="0"/>
          <w:marBottom w:val="0"/>
          <w:divBdr>
            <w:top w:val="none" w:sz="0" w:space="0" w:color="auto"/>
            <w:left w:val="none" w:sz="0" w:space="0" w:color="auto"/>
            <w:bottom w:val="none" w:sz="0" w:space="0" w:color="auto"/>
            <w:right w:val="none" w:sz="0" w:space="0" w:color="auto"/>
          </w:divBdr>
        </w:div>
      </w:divsChild>
    </w:div>
    <w:div w:id="1852985684">
      <w:marLeft w:val="0"/>
      <w:marRight w:val="0"/>
      <w:marTop w:val="0"/>
      <w:marBottom w:val="0"/>
      <w:divBdr>
        <w:top w:val="none" w:sz="0" w:space="0" w:color="auto"/>
        <w:left w:val="none" w:sz="0" w:space="0" w:color="auto"/>
        <w:bottom w:val="none" w:sz="0" w:space="0" w:color="auto"/>
        <w:right w:val="none" w:sz="0" w:space="0" w:color="auto"/>
      </w:divBdr>
      <w:divsChild>
        <w:div w:id="1852985657">
          <w:marLeft w:val="0"/>
          <w:marRight w:val="0"/>
          <w:marTop w:val="0"/>
          <w:marBottom w:val="0"/>
          <w:divBdr>
            <w:top w:val="none" w:sz="0" w:space="0" w:color="auto"/>
            <w:left w:val="none" w:sz="0" w:space="0" w:color="auto"/>
            <w:bottom w:val="none" w:sz="0" w:space="0" w:color="auto"/>
            <w:right w:val="none" w:sz="0" w:space="0" w:color="auto"/>
          </w:divBdr>
          <w:divsChild>
            <w:div w:id="1852985660">
              <w:marLeft w:val="0"/>
              <w:marRight w:val="0"/>
              <w:marTop w:val="0"/>
              <w:marBottom w:val="0"/>
              <w:divBdr>
                <w:top w:val="none" w:sz="0" w:space="0" w:color="auto"/>
                <w:left w:val="none" w:sz="0" w:space="0" w:color="auto"/>
                <w:bottom w:val="none" w:sz="0" w:space="0" w:color="auto"/>
                <w:right w:val="none" w:sz="0" w:space="0" w:color="auto"/>
              </w:divBdr>
            </w:div>
            <w:div w:id="1852985661">
              <w:marLeft w:val="0"/>
              <w:marRight w:val="0"/>
              <w:marTop w:val="0"/>
              <w:marBottom w:val="0"/>
              <w:divBdr>
                <w:top w:val="none" w:sz="0" w:space="0" w:color="auto"/>
                <w:left w:val="none" w:sz="0" w:space="0" w:color="auto"/>
                <w:bottom w:val="none" w:sz="0" w:space="0" w:color="auto"/>
                <w:right w:val="none" w:sz="0" w:space="0" w:color="auto"/>
              </w:divBdr>
            </w:div>
            <w:div w:id="1852985662">
              <w:marLeft w:val="0"/>
              <w:marRight w:val="0"/>
              <w:marTop w:val="0"/>
              <w:marBottom w:val="0"/>
              <w:divBdr>
                <w:top w:val="none" w:sz="0" w:space="0" w:color="auto"/>
                <w:left w:val="none" w:sz="0" w:space="0" w:color="auto"/>
                <w:bottom w:val="none" w:sz="0" w:space="0" w:color="auto"/>
                <w:right w:val="none" w:sz="0" w:space="0" w:color="auto"/>
              </w:divBdr>
            </w:div>
            <w:div w:id="1852985663">
              <w:marLeft w:val="0"/>
              <w:marRight w:val="0"/>
              <w:marTop w:val="0"/>
              <w:marBottom w:val="0"/>
              <w:divBdr>
                <w:top w:val="none" w:sz="0" w:space="0" w:color="auto"/>
                <w:left w:val="none" w:sz="0" w:space="0" w:color="auto"/>
                <w:bottom w:val="none" w:sz="0" w:space="0" w:color="auto"/>
                <w:right w:val="none" w:sz="0" w:space="0" w:color="auto"/>
              </w:divBdr>
            </w:div>
            <w:div w:id="1852985670">
              <w:marLeft w:val="0"/>
              <w:marRight w:val="0"/>
              <w:marTop w:val="0"/>
              <w:marBottom w:val="0"/>
              <w:divBdr>
                <w:top w:val="none" w:sz="0" w:space="0" w:color="auto"/>
                <w:left w:val="none" w:sz="0" w:space="0" w:color="auto"/>
                <w:bottom w:val="none" w:sz="0" w:space="0" w:color="auto"/>
                <w:right w:val="none" w:sz="0" w:space="0" w:color="auto"/>
              </w:divBdr>
            </w:div>
            <w:div w:id="1852985671">
              <w:marLeft w:val="0"/>
              <w:marRight w:val="0"/>
              <w:marTop w:val="0"/>
              <w:marBottom w:val="0"/>
              <w:divBdr>
                <w:top w:val="none" w:sz="0" w:space="0" w:color="auto"/>
                <w:left w:val="none" w:sz="0" w:space="0" w:color="auto"/>
                <w:bottom w:val="none" w:sz="0" w:space="0" w:color="auto"/>
                <w:right w:val="none" w:sz="0" w:space="0" w:color="auto"/>
              </w:divBdr>
            </w:div>
            <w:div w:id="1852985673">
              <w:marLeft w:val="0"/>
              <w:marRight w:val="0"/>
              <w:marTop w:val="0"/>
              <w:marBottom w:val="0"/>
              <w:divBdr>
                <w:top w:val="none" w:sz="0" w:space="0" w:color="auto"/>
                <w:left w:val="none" w:sz="0" w:space="0" w:color="auto"/>
                <w:bottom w:val="none" w:sz="0" w:space="0" w:color="auto"/>
                <w:right w:val="none" w:sz="0" w:space="0" w:color="auto"/>
              </w:divBdr>
            </w:div>
            <w:div w:id="1852985677">
              <w:marLeft w:val="0"/>
              <w:marRight w:val="0"/>
              <w:marTop w:val="0"/>
              <w:marBottom w:val="0"/>
              <w:divBdr>
                <w:top w:val="none" w:sz="0" w:space="0" w:color="auto"/>
                <w:left w:val="none" w:sz="0" w:space="0" w:color="auto"/>
                <w:bottom w:val="none" w:sz="0" w:space="0" w:color="auto"/>
                <w:right w:val="none" w:sz="0" w:space="0" w:color="auto"/>
              </w:divBdr>
            </w:div>
            <w:div w:id="1852985679">
              <w:marLeft w:val="0"/>
              <w:marRight w:val="0"/>
              <w:marTop w:val="0"/>
              <w:marBottom w:val="0"/>
              <w:divBdr>
                <w:top w:val="none" w:sz="0" w:space="0" w:color="auto"/>
                <w:left w:val="none" w:sz="0" w:space="0" w:color="auto"/>
                <w:bottom w:val="none" w:sz="0" w:space="0" w:color="auto"/>
                <w:right w:val="none" w:sz="0" w:space="0" w:color="auto"/>
              </w:divBdr>
            </w:div>
            <w:div w:id="1852985682">
              <w:marLeft w:val="0"/>
              <w:marRight w:val="0"/>
              <w:marTop w:val="0"/>
              <w:marBottom w:val="0"/>
              <w:divBdr>
                <w:top w:val="none" w:sz="0" w:space="0" w:color="auto"/>
                <w:left w:val="none" w:sz="0" w:space="0" w:color="auto"/>
                <w:bottom w:val="none" w:sz="0" w:space="0" w:color="auto"/>
                <w:right w:val="none" w:sz="0" w:space="0" w:color="auto"/>
              </w:divBdr>
            </w:div>
            <w:div w:id="1852985687">
              <w:marLeft w:val="0"/>
              <w:marRight w:val="0"/>
              <w:marTop w:val="0"/>
              <w:marBottom w:val="0"/>
              <w:divBdr>
                <w:top w:val="none" w:sz="0" w:space="0" w:color="auto"/>
                <w:left w:val="none" w:sz="0" w:space="0" w:color="auto"/>
                <w:bottom w:val="none" w:sz="0" w:space="0" w:color="auto"/>
                <w:right w:val="none" w:sz="0" w:space="0" w:color="auto"/>
              </w:divBdr>
            </w:div>
            <w:div w:id="1852985688">
              <w:marLeft w:val="0"/>
              <w:marRight w:val="0"/>
              <w:marTop w:val="0"/>
              <w:marBottom w:val="0"/>
              <w:divBdr>
                <w:top w:val="none" w:sz="0" w:space="0" w:color="auto"/>
                <w:left w:val="none" w:sz="0" w:space="0" w:color="auto"/>
                <w:bottom w:val="none" w:sz="0" w:space="0" w:color="auto"/>
                <w:right w:val="none" w:sz="0" w:space="0" w:color="auto"/>
              </w:divBdr>
            </w:div>
            <w:div w:id="185298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85">
      <w:marLeft w:val="0"/>
      <w:marRight w:val="0"/>
      <w:marTop w:val="0"/>
      <w:marBottom w:val="0"/>
      <w:divBdr>
        <w:top w:val="none" w:sz="0" w:space="0" w:color="auto"/>
        <w:left w:val="none" w:sz="0" w:space="0" w:color="auto"/>
        <w:bottom w:val="none" w:sz="0" w:space="0" w:color="auto"/>
        <w:right w:val="none" w:sz="0" w:space="0" w:color="auto"/>
      </w:divBdr>
      <w:divsChild>
        <w:div w:id="1852985678">
          <w:marLeft w:val="0"/>
          <w:marRight w:val="0"/>
          <w:marTop w:val="0"/>
          <w:marBottom w:val="0"/>
          <w:divBdr>
            <w:top w:val="none" w:sz="0" w:space="0" w:color="auto"/>
            <w:left w:val="none" w:sz="0" w:space="0" w:color="auto"/>
            <w:bottom w:val="none" w:sz="0" w:space="0" w:color="auto"/>
            <w:right w:val="none" w:sz="0" w:space="0" w:color="auto"/>
          </w:divBdr>
          <w:divsChild>
            <w:div w:id="1852985676">
              <w:marLeft w:val="0"/>
              <w:marRight w:val="0"/>
              <w:marTop w:val="0"/>
              <w:marBottom w:val="0"/>
              <w:divBdr>
                <w:top w:val="none" w:sz="0" w:space="0" w:color="auto"/>
                <w:left w:val="none" w:sz="0" w:space="0" w:color="auto"/>
                <w:bottom w:val="none" w:sz="0" w:space="0" w:color="auto"/>
                <w:right w:val="none" w:sz="0" w:space="0" w:color="auto"/>
              </w:divBdr>
            </w:div>
            <w:div w:id="185298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89">
      <w:marLeft w:val="0"/>
      <w:marRight w:val="0"/>
      <w:marTop w:val="0"/>
      <w:marBottom w:val="0"/>
      <w:divBdr>
        <w:top w:val="none" w:sz="0" w:space="0" w:color="auto"/>
        <w:left w:val="none" w:sz="0" w:space="0" w:color="auto"/>
        <w:bottom w:val="none" w:sz="0" w:space="0" w:color="auto"/>
        <w:right w:val="none" w:sz="0" w:space="0" w:color="auto"/>
      </w:divBdr>
      <w:divsChild>
        <w:div w:id="1852985683">
          <w:marLeft w:val="0"/>
          <w:marRight w:val="0"/>
          <w:marTop w:val="0"/>
          <w:marBottom w:val="0"/>
          <w:divBdr>
            <w:top w:val="none" w:sz="0" w:space="0" w:color="auto"/>
            <w:left w:val="none" w:sz="0" w:space="0" w:color="auto"/>
            <w:bottom w:val="none" w:sz="0" w:space="0" w:color="auto"/>
            <w:right w:val="none" w:sz="0" w:space="0" w:color="auto"/>
          </w:divBdr>
          <w:divsChild>
            <w:div w:id="185298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94">
      <w:marLeft w:val="0"/>
      <w:marRight w:val="0"/>
      <w:marTop w:val="0"/>
      <w:marBottom w:val="0"/>
      <w:divBdr>
        <w:top w:val="none" w:sz="0" w:space="0" w:color="auto"/>
        <w:left w:val="none" w:sz="0" w:space="0" w:color="auto"/>
        <w:bottom w:val="none" w:sz="0" w:space="0" w:color="auto"/>
        <w:right w:val="none" w:sz="0" w:space="0" w:color="auto"/>
      </w:divBdr>
      <w:divsChild>
        <w:div w:id="1852985693">
          <w:marLeft w:val="0"/>
          <w:marRight w:val="0"/>
          <w:marTop w:val="0"/>
          <w:marBottom w:val="0"/>
          <w:divBdr>
            <w:top w:val="none" w:sz="0" w:space="0" w:color="auto"/>
            <w:left w:val="none" w:sz="0" w:space="0" w:color="auto"/>
            <w:bottom w:val="none" w:sz="0" w:space="0" w:color="auto"/>
            <w:right w:val="none" w:sz="0" w:space="0" w:color="auto"/>
          </w:divBdr>
          <w:divsChild>
            <w:div w:id="185298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698">
      <w:marLeft w:val="0"/>
      <w:marRight w:val="0"/>
      <w:marTop w:val="0"/>
      <w:marBottom w:val="0"/>
      <w:divBdr>
        <w:top w:val="none" w:sz="0" w:space="0" w:color="auto"/>
        <w:left w:val="none" w:sz="0" w:space="0" w:color="auto"/>
        <w:bottom w:val="none" w:sz="0" w:space="0" w:color="auto"/>
        <w:right w:val="none" w:sz="0" w:space="0" w:color="auto"/>
      </w:divBdr>
      <w:divsChild>
        <w:div w:id="1852985702">
          <w:marLeft w:val="0"/>
          <w:marRight w:val="0"/>
          <w:marTop w:val="0"/>
          <w:marBottom w:val="0"/>
          <w:divBdr>
            <w:top w:val="none" w:sz="0" w:space="0" w:color="auto"/>
            <w:left w:val="none" w:sz="0" w:space="0" w:color="auto"/>
            <w:bottom w:val="none" w:sz="0" w:space="0" w:color="auto"/>
            <w:right w:val="none" w:sz="0" w:space="0" w:color="auto"/>
          </w:divBdr>
        </w:div>
      </w:divsChild>
    </w:div>
    <w:div w:id="1852985705">
      <w:marLeft w:val="0"/>
      <w:marRight w:val="0"/>
      <w:marTop w:val="0"/>
      <w:marBottom w:val="0"/>
      <w:divBdr>
        <w:top w:val="none" w:sz="0" w:space="0" w:color="auto"/>
        <w:left w:val="none" w:sz="0" w:space="0" w:color="auto"/>
        <w:bottom w:val="none" w:sz="0" w:space="0" w:color="auto"/>
        <w:right w:val="none" w:sz="0" w:space="0" w:color="auto"/>
      </w:divBdr>
      <w:divsChild>
        <w:div w:id="1852985699">
          <w:marLeft w:val="0"/>
          <w:marRight w:val="0"/>
          <w:marTop w:val="0"/>
          <w:marBottom w:val="0"/>
          <w:divBdr>
            <w:top w:val="none" w:sz="0" w:space="0" w:color="auto"/>
            <w:left w:val="none" w:sz="0" w:space="0" w:color="auto"/>
            <w:bottom w:val="none" w:sz="0" w:space="0" w:color="auto"/>
            <w:right w:val="none" w:sz="0" w:space="0" w:color="auto"/>
          </w:divBdr>
          <w:divsChild>
            <w:div w:id="1852985691">
              <w:marLeft w:val="0"/>
              <w:marRight w:val="0"/>
              <w:marTop w:val="0"/>
              <w:marBottom w:val="0"/>
              <w:divBdr>
                <w:top w:val="none" w:sz="0" w:space="0" w:color="auto"/>
                <w:left w:val="none" w:sz="0" w:space="0" w:color="auto"/>
                <w:bottom w:val="none" w:sz="0" w:space="0" w:color="auto"/>
                <w:right w:val="none" w:sz="0" w:space="0" w:color="auto"/>
              </w:divBdr>
            </w:div>
            <w:div w:id="1852985695">
              <w:marLeft w:val="0"/>
              <w:marRight w:val="0"/>
              <w:marTop w:val="0"/>
              <w:marBottom w:val="0"/>
              <w:divBdr>
                <w:top w:val="none" w:sz="0" w:space="0" w:color="auto"/>
                <w:left w:val="none" w:sz="0" w:space="0" w:color="auto"/>
                <w:bottom w:val="none" w:sz="0" w:space="0" w:color="auto"/>
                <w:right w:val="none" w:sz="0" w:space="0" w:color="auto"/>
              </w:divBdr>
            </w:div>
            <w:div w:id="1852985696">
              <w:marLeft w:val="0"/>
              <w:marRight w:val="0"/>
              <w:marTop w:val="0"/>
              <w:marBottom w:val="0"/>
              <w:divBdr>
                <w:top w:val="none" w:sz="0" w:space="0" w:color="auto"/>
                <w:left w:val="none" w:sz="0" w:space="0" w:color="auto"/>
                <w:bottom w:val="none" w:sz="0" w:space="0" w:color="auto"/>
                <w:right w:val="none" w:sz="0" w:space="0" w:color="auto"/>
              </w:divBdr>
            </w:div>
            <w:div w:id="1852985697">
              <w:marLeft w:val="0"/>
              <w:marRight w:val="0"/>
              <w:marTop w:val="0"/>
              <w:marBottom w:val="0"/>
              <w:divBdr>
                <w:top w:val="none" w:sz="0" w:space="0" w:color="auto"/>
                <w:left w:val="none" w:sz="0" w:space="0" w:color="auto"/>
                <w:bottom w:val="none" w:sz="0" w:space="0" w:color="auto"/>
                <w:right w:val="none" w:sz="0" w:space="0" w:color="auto"/>
              </w:divBdr>
            </w:div>
            <w:div w:id="1852985700">
              <w:marLeft w:val="0"/>
              <w:marRight w:val="0"/>
              <w:marTop w:val="0"/>
              <w:marBottom w:val="0"/>
              <w:divBdr>
                <w:top w:val="none" w:sz="0" w:space="0" w:color="auto"/>
                <w:left w:val="none" w:sz="0" w:space="0" w:color="auto"/>
                <w:bottom w:val="none" w:sz="0" w:space="0" w:color="auto"/>
                <w:right w:val="none" w:sz="0" w:space="0" w:color="auto"/>
              </w:divBdr>
            </w:div>
            <w:div w:id="1852985701">
              <w:marLeft w:val="0"/>
              <w:marRight w:val="0"/>
              <w:marTop w:val="0"/>
              <w:marBottom w:val="0"/>
              <w:divBdr>
                <w:top w:val="none" w:sz="0" w:space="0" w:color="auto"/>
                <w:left w:val="none" w:sz="0" w:space="0" w:color="auto"/>
                <w:bottom w:val="none" w:sz="0" w:space="0" w:color="auto"/>
                <w:right w:val="none" w:sz="0" w:space="0" w:color="auto"/>
              </w:divBdr>
            </w:div>
            <w:div w:id="1852985703">
              <w:marLeft w:val="0"/>
              <w:marRight w:val="0"/>
              <w:marTop w:val="0"/>
              <w:marBottom w:val="0"/>
              <w:divBdr>
                <w:top w:val="none" w:sz="0" w:space="0" w:color="auto"/>
                <w:left w:val="none" w:sz="0" w:space="0" w:color="auto"/>
                <w:bottom w:val="none" w:sz="0" w:space="0" w:color="auto"/>
                <w:right w:val="none" w:sz="0" w:space="0" w:color="auto"/>
              </w:divBdr>
            </w:div>
            <w:div w:id="1852985704">
              <w:marLeft w:val="0"/>
              <w:marRight w:val="0"/>
              <w:marTop w:val="0"/>
              <w:marBottom w:val="0"/>
              <w:divBdr>
                <w:top w:val="none" w:sz="0" w:space="0" w:color="auto"/>
                <w:left w:val="none" w:sz="0" w:space="0" w:color="auto"/>
                <w:bottom w:val="none" w:sz="0" w:space="0" w:color="auto"/>
                <w:right w:val="none" w:sz="0" w:space="0" w:color="auto"/>
              </w:divBdr>
            </w:div>
            <w:div w:id="1852985706">
              <w:marLeft w:val="0"/>
              <w:marRight w:val="0"/>
              <w:marTop w:val="0"/>
              <w:marBottom w:val="0"/>
              <w:divBdr>
                <w:top w:val="none" w:sz="0" w:space="0" w:color="auto"/>
                <w:left w:val="none" w:sz="0" w:space="0" w:color="auto"/>
                <w:bottom w:val="none" w:sz="0" w:space="0" w:color="auto"/>
                <w:right w:val="none" w:sz="0" w:space="0" w:color="auto"/>
              </w:divBdr>
            </w:div>
            <w:div w:id="1852985707">
              <w:marLeft w:val="0"/>
              <w:marRight w:val="0"/>
              <w:marTop w:val="0"/>
              <w:marBottom w:val="0"/>
              <w:divBdr>
                <w:top w:val="none" w:sz="0" w:space="0" w:color="auto"/>
                <w:left w:val="none" w:sz="0" w:space="0" w:color="auto"/>
                <w:bottom w:val="none" w:sz="0" w:space="0" w:color="auto"/>
                <w:right w:val="none" w:sz="0" w:space="0" w:color="auto"/>
              </w:divBdr>
            </w:div>
            <w:div w:id="1852985708">
              <w:marLeft w:val="0"/>
              <w:marRight w:val="0"/>
              <w:marTop w:val="0"/>
              <w:marBottom w:val="0"/>
              <w:divBdr>
                <w:top w:val="none" w:sz="0" w:space="0" w:color="auto"/>
                <w:left w:val="none" w:sz="0" w:space="0" w:color="auto"/>
                <w:bottom w:val="none" w:sz="0" w:space="0" w:color="auto"/>
                <w:right w:val="none" w:sz="0" w:space="0" w:color="auto"/>
              </w:divBdr>
            </w:div>
            <w:div w:id="1852985709">
              <w:marLeft w:val="0"/>
              <w:marRight w:val="0"/>
              <w:marTop w:val="0"/>
              <w:marBottom w:val="0"/>
              <w:divBdr>
                <w:top w:val="none" w:sz="0" w:space="0" w:color="auto"/>
                <w:left w:val="none" w:sz="0" w:space="0" w:color="auto"/>
                <w:bottom w:val="none" w:sz="0" w:space="0" w:color="auto"/>
                <w:right w:val="none" w:sz="0" w:space="0" w:color="auto"/>
              </w:divBdr>
            </w:div>
            <w:div w:id="1852985710">
              <w:marLeft w:val="0"/>
              <w:marRight w:val="0"/>
              <w:marTop w:val="0"/>
              <w:marBottom w:val="0"/>
              <w:divBdr>
                <w:top w:val="none" w:sz="0" w:space="0" w:color="auto"/>
                <w:left w:val="none" w:sz="0" w:space="0" w:color="auto"/>
                <w:bottom w:val="none" w:sz="0" w:space="0" w:color="auto"/>
                <w:right w:val="none" w:sz="0" w:space="0" w:color="auto"/>
              </w:divBdr>
            </w:div>
            <w:div w:id="185298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5712">
      <w:marLeft w:val="0"/>
      <w:marRight w:val="0"/>
      <w:marTop w:val="0"/>
      <w:marBottom w:val="0"/>
      <w:divBdr>
        <w:top w:val="none" w:sz="0" w:space="0" w:color="auto"/>
        <w:left w:val="none" w:sz="0" w:space="0" w:color="auto"/>
        <w:bottom w:val="none" w:sz="0" w:space="0" w:color="auto"/>
        <w:right w:val="none" w:sz="0" w:space="0" w:color="auto"/>
      </w:divBdr>
    </w:div>
    <w:div w:id="1852985713">
      <w:marLeft w:val="0"/>
      <w:marRight w:val="0"/>
      <w:marTop w:val="0"/>
      <w:marBottom w:val="0"/>
      <w:divBdr>
        <w:top w:val="none" w:sz="0" w:space="0" w:color="auto"/>
        <w:left w:val="none" w:sz="0" w:space="0" w:color="auto"/>
        <w:bottom w:val="none" w:sz="0" w:space="0" w:color="auto"/>
        <w:right w:val="none" w:sz="0" w:space="0" w:color="auto"/>
      </w:divBdr>
    </w:div>
    <w:div w:id="1852985715">
      <w:marLeft w:val="0"/>
      <w:marRight w:val="0"/>
      <w:marTop w:val="0"/>
      <w:marBottom w:val="0"/>
      <w:divBdr>
        <w:top w:val="none" w:sz="0" w:space="0" w:color="auto"/>
        <w:left w:val="none" w:sz="0" w:space="0" w:color="auto"/>
        <w:bottom w:val="none" w:sz="0" w:space="0" w:color="auto"/>
        <w:right w:val="none" w:sz="0" w:space="0" w:color="auto"/>
      </w:divBdr>
      <w:divsChild>
        <w:div w:id="1852985716">
          <w:marLeft w:val="0"/>
          <w:marRight w:val="0"/>
          <w:marTop w:val="0"/>
          <w:marBottom w:val="0"/>
          <w:divBdr>
            <w:top w:val="none" w:sz="0" w:space="0" w:color="auto"/>
            <w:left w:val="none" w:sz="0" w:space="0" w:color="auto"/>
            <w:bottom w:val="none" w:sz="0" w:space="0" w:color="auto"/>
            <w:right w:val="none" w:sz="0" w:space="0" w:color="auto"/>
          </w:divBdr>
        </w:div>
        <w:div w:id="1852985722">
          <w:marLeft w:val="0"/>
          <w:marRight w:val="0"/>
          <w:marTop w:val="0"/>
          <w:marBottom w:val="0"/>
          <w:divBdr>
            <w:top w:val="none" w:sz="0" w:space="0" w:color="auto"/>
            <w:left w:val="none" w:sz="0" w:space="0" w:color="auto"/>
            <w:bottom w:val="none" w:sz="0" w:space="0" w:color="auto"/>
            <w:right w:val="none" w:sz="0" w:space="0" w:color="auto"/>
          </w:divBdr>
        </w:div>
        <w:div w:id="1852985724">
          <w:marLeft w:val="0"/>
          <w:marRight w:val="0"/>
          <w:marTop w:val="0"/>
          <w:marBottom w:val="0"/>
          <w:divBdr>
            <w:top w:val="none" w:sz="0" w:space="0" w:color="auto"/>
            <w:left w:val="none" w:sz="0" w:space="0" w:color="auto"/>
            <w:bottom w:val="none" w:sz="0" w:space="0" w:color="auto"/>
            <w:right w:val="none" w:sz="0" w:space="0" w:color="auto"/>
          </w:divBdr>
        </w:div>
        <w:div w:id="1852985727">
          <w:marLeft w:val="0"/>
          <w:marRight w:val="0"/>
          <w:marTop w:val="0"/>
          <w:marBottom w:val="0"/>
          <w:divBdr>
            <w:top w:val="none" w:sz="0" w:space="0" w:color="auto"/>
            <w:left w:val="none" w:sz="0" w:space="0" w:color="auto"/>
            <w:bottom w:val="none" w:sz="0" w:space="0" w:color="auto"/>
            <w:right w:val="none" w:sz="0" w:space="0" w:color="auto"/>
          </w:divBdr>
        </w:div>
        <w:div w:id="1852985730">
          <w:marLeft w:val="0"/>
          <w:marRight w:val="0"/>
          <w:marTop w:val="0"/>
          <w:marBottom w:val="0"/>
          <w:divBdr>
            <w:top w:val="none" w:sz="0" w:space="0" w:color="auto"/>
            <w:left w:val="none" w:sz="0" w:space="0" w:color="auto"/>
            <w:bottom w:val="none" w:sz="0" w:space="0" w:color="auto"/>
            <w:right w:val="none" w:sz="0" w:space="0" w:color="auto"/>
          </w:divBdr>
        </w:div>
      </w:divsChild>
    </w:div>
    <w:div w:id="1852985725">
      <w:marLeft w:val="0"/>
      <w:marRight w:val="0"/>
      <w:marTop w:val="0"/>
      <w:marBottom w:val="0"/>
      <w:divBdr>
        <w:top w:val="none" w:sz="0" w:space="0" w:color="auto"/>
        <w:left w:val="none" w:sz="0" w:space="0" w:color="auto"/>
        <w:bottom w:val="none" w:sz="0" w:space="0" w:color="auto"/>
        <w:right w:val="none" w:sz="0" w:space="0" w:color="auto"/>
      </w:divBdr>
      <w:divsChild>
        <w:div w:id="1852985714">
          <w:marLeft w:val="0"/>
          <w:marRight w:val="0"/>
          <w:marTop w:val="0"/>
          <w:marBottom w:val="0"/>
          <w:divBdr>
            <w:top w:val="none" w:sz="0" w:space="0" w:color="auto"/>
            <w:left w:val="none" w:sz="0" w:space="0" w:color="auto"/>
            <w:bottom w:val="none" w:sz="0" w:space="0" w:color="auto"/>
            <w:right w:val="none" w:sz="0" w:space="0" w:color="auto"/>
          </w:divBdr>
        </w:div>
        <w:div w:id="1852985718">
          <w:marLeft w:val="0"/>
          <w:marRight w:val="0"/>
          <w:marTop w:val="0"/>
          <w:marBottom w:val="0"/>
          <w:divBdr>
            <w:top w:val="none" w:sz="0" w:space="0" w:color="auto"/>
            <w:left w:val="none" w:sz="0" w:space="0" w:color="auto"/>
            <w:bottom w:val="none" w:sz="0" w:space="0" w:color="auto"/>
            <w:right w:val="none" w:sz="0" w:space="0" w:color="auto"/>
          </w:divBdr>
        </w:div>
        <w:div w:id="1852985719">
          <w:marLeft w:val="0"/>
          <w:marRight w:val="0"/>
          <w:marTop w:val="0"/>
          <w:marBottom w:val="0"/>
          <w:divBdr>
            <w:top w:val="none" w:sz="0" w:space="0" w:color="auto"/>
            <w:left w:val="none" w:sz="0" w:space="0" w:color="auto"/>
            <w:bottom w:val="none" w:sz="0" w:space="0" w:color="auto"/>
            <w:right w:val="none" w:sz="0" w:space="0" w:color="auto"/>
          </w:divBdr>
        </w:div>
        <w:div w:id="1852985720">
          <w:marLeft w:val="0"/>
          <w:marRight w:val="0"/>
          <w:marTop w:val="0"/>
          <w:marBottom w:val="0"/>
          <w:divBdr>
            <w:top w:val="none" w:sz="0" w:space="0" w:color="auto"/>
            <w:left w:val="none" w:sz="0" w:space="0" w:color="auto"/>
            <w:bottom w:val="none" w:sz="0" w:space="0" w:color="auto"/>
            <w:right w:val="none" w:sz="0" w:space="0" w:color="auto"/>
          </w:divBdr>
        </w:div>
        <w:div w:id="1852985723">
          <w:marLeft w:val="0"/>
          <w:marRight w:val="0"/>
          <w:marTop w:val="0"/>
          <w:marBottom w:val="0"/>
          <w:divBdr>
            <w:top w:val="none" w:sz="0" w:space="0" w:color="auto"/>
            <w:left w:val="none" w:sz="0" w:space="0" w:color="auto"/>
            <w:bottom w:val="none" w:sz="0" w:space="0" w:color="auto"/>
            <w:right w:val="none" w:sz="0" w:space="0" w:color="auto"/>
          </w:divBdr>
        </w:div>
      </w:divsChild>
    </w:div>
    <w:div w:id="1852985731">
      <w:marLeft w:val="0"/>
      <w:marRight w:val="0"/>
      <w:marTop w:val="0"/>
      <w:marBottom w:val="0"/>
      <w:divBdr>
        <w:top w:val="none" w:sz="0" w:space="0" w:color="auto"/>
        <w:left w:val="none" w:sz="0" w:space="0" w:color="auto"/>
        <w:bottom w:val="none" w:sz="0" w:space="0" w:color="auto"/>
        <w:right w:val="none" w:sz="0" w:space="0" w:color="auto"/>
      </w:divBdr>
      <w:divsChild>
        <w:div w:id="1852985717">
          <w:marLeft w:val="0"/>
          <w:marRight w:val="0"/>
          <w:marTop w:val="0"/>
          <w:marBottom w:val="0"/>
          <w:divBdr>
            <w:top w:val="none" w:sz="0" w:space="0" w:color="auto"/>
            <w:left w:val="none" w:sz="0" w:space="0" w:color="auto"/>
            <w:bottom w:val="none" w:sz="0" w:space="0" w:color="auto"/>
            <w:right w:val="none" w:sz="0" w:space="0" w:color="auto"/>
          </w:divBdr>
        </w:div>
        <w:div w:id="1852985721">
          <w:marLeft w:val="0"/>
          <w:marRight w:val="0"/>
          <w:marTop w:val="0"/>
          <w:marBottom w:val="0"/>
          <w:divBdr>
            <w:top w:val="none" w:sz="0" w:space="0" w:color="auto"/>
            <w:left w:val="none" w:sz="0" w:space="0" w:color="auto"/>
            <w:bottom w:val="none" w:sz="0" w:space="0" w:color="auto"/>
            <w:right w:val="none" w:sz="0" w:space="0" w:color="auto"/>
          </w:divBdr>
        </w:div>
        <w:div w:id="1852985726">
          <w:marLeft w:val="0"/>
          <w:marRight w:val="0"/>
          <w:marTop w:val="0"/>
          <w:marBottom w:val="0"/>
          <w:divBdr>
            <w:top w:val="none" w:sz="0" w:space="0" w:color="auto"/>
            <w:left w:val="none" w:sz="0" w:space="0" w:color="auto"/>
            <w:bottom w:val="none" w:sz="0" w:space="0" w:color="auto"/>
            <w:right w:val="none" w:sz="0" w:space="0" w:color="auto"/>
          </w:divBdr>
        </w:div>
        <w:div w:id="1852985728">
          <w:marLeft w:val="0"/>
          <w:marRight w:val="0"/>
          <w:marTop w:val="0"/>
          <w:marBottom w:val="0"/>
          <w:divBdr>
            <w:top w:val="none" w:sz="0" w:space="0" w:color="auto"/>
            <w:left w:val="none" w:sz="0" w:space="0" w:color="auto"/>
            <w:bottom w:val="none" w:sz="0" w:space="0" w:color="auto"/>
            <w:right w:val="none" w:sz="0" w:space="0" w:color="auto"/>
          </w:divBdr>
        </w:div>
        <w:div w:id="1852985729">
          <w:marLeft w:val="0"/>
          <w:marRight w:val="0"/>
          <w:marTop w:val="0"/>
          <w:marBottom w:val="0"/>
          <w:divBdr>
            <w:top w:val="none" w:sz="0" w:space="0" w:color="auto"/>
            <w:left w:val="none" w:sz="0" w:space="0" w:color="auto"/>
            <w:bottom w:val="none" w:sz="0" w:space="0" w:color="auto"/>
            <w:right w:val="none" w:sz="0" w:space="0" w:color="auto"/>
          </w:divBdr>
        </w:div>
      </w:divsChild>
    </w:div>
    <w:div w:id="1852985732">
      <w:marLeft w:val="0"/>
      <w:marRight w:val="0"/>
      <w:marTop w:val="0"/>
      <w:marBottom w:val="0"/>
      <w:divBdr>
        <w:top w:val="none" w:sz="0" w:space="0" w:color="auto"/>
        <w:left w:val="none" w:sz="0" w:space="0" w:color="auto"/>
        <w:bottom w:val="none" w:sz="0" w:space="0" w:color="auto"/>
        <w:right w:val="none" w:sz="0" w:space="0" w:color="auto"/>
      </w:divBdr>
    </w:div>
    <w:div w:id="1852985733">
      <w:marLeft w:val="0"/>
      <w:marRight w:val="0"/>
      <w:marTop w:val="0"/>
      <w:marBottom w:val="0"/>
      <w:divBdr>
        <w:top w:val="none" w:sz="0" w:space="0" w:color="auto"/>
        <w:left w:val="none" w:sz="0" w:space="0" w:color="auto"/>
        <w:bottom w:val="none" w:sz="0" w:space="0" w:color="auto"/>
        <w:right w:val="none" w:sz="0" w:space="0" w:color="auto"/>
      </w:divBdr>
    </w:div>
    <w:div w:id="1852985734">
      <w:marLeft w:val="0"/>
      <w:marRight w:val="0"/>
      <w:marTop w:val="0"/>
      <w:marBottom w:val="0"/>
      <w:divBdr>
        <w:top w:val="none" w:sz="0" w:space="0" w:color="auto"/>
        <w:left w:val="none" w:sz="0" w:space="0" w:color="auto"/>
        <w:bottom w:val="none" w:sz="0" w:space="0" w:color="auto"/>
        <w:right w:val="none" w:sz="0" w:space="0" w:color="auto"/>
      </w:divBdr>
    </w:div>
    <w:div w:id="1867671064">
      <w:bodyDiv w:val="1"/>
      <w:marLeft w:val="0"/>
      <w:marRight w:val="0"/>
      <w:marTop w:val="0"/>
      <w:marBottom w:val="0"/>
      <w:divBdr>
        <w:top w:val="none" w:sz="0" w:space="0" w:color="auto"/>
        <w:left w:val="none" w:sz="0" w:space="0" w:color="auto"/>
        <w:bottom w:val="none" w:sz="0" w:space="0" w:color="auto"/>
        <w:right w:val="none" w:sz="0" w:space="0" w:color="auto"/>
      </w:divBdr>
    </w:div>
    <w:div w:id="1897468010">
      <w:bodyDiv w:val="1"/>
      <w:marLeft w:val="0"/>
      <w:marRight w:val="0"/>
      <w:marTop w:val="0"/>
      <w:marBottom w:val="0"/>
      <w:divBdr>
        <w:top w:val="none" w:sz="0" w:space="0" w:color="auto"/>
        <w:left w:val="none" w:sz="0" w:space="0" w:color="auto"/>
        <w:bottom w:val="none" w:sz="0" w:space="0" w:color="auto"/>
        <w:right w:val="none" w:sz="0" w:space="0" w:color="auto"/>
      </w:divBdr>
    </w:div>
    <w:div w:id="2034381611">
      <w:bodyDiv w:val="1"/>
      <w:marLeft w:val="75"/>
      <w:marRight w:val="75"/>
      <w:marTop w:val="75"/>
      <w:marBottom w:val="75"/>
      <w:divBdr>
        <w:top w:val="none" w:sz="0" w:space="0" w:color="auto"/>
        <w:left w:val="none" w:sz="0" w:space="0" w:color="auto"/>
        <w:bottom w:val="none" w:sz="0" w:space="0" w:color="auto"/>
        <w:right w:val="none" w:sz="0" w:space="0" w:color="auto"/>
      </w:divBdr>
      <w:divsChild>
        <w:div w:id="69547141">
          <w:marLeft w:val="0"/>
          <w:marRight w:val="0"/>
          <w:marTop w:val="0"/>
          <w:marBottom w:val="0"/>
          <w:divBdr>
            <w:top w:val="none" w:sz="0" w:space="0" w:color="auto"/>
            <w:left w:val="none" w:sz="0" w:space="0" w:color="auto"/>
            <w:bottom w:val="none" w:sz="0" w:space="0" w:color="auto"/>
            <w:right w:val="none" w:sz="0" w:space="0" w:color="auto"/>
          </w:divBdr>
        </w:div>
      </w:divsChild>
    </w:div>
    <w:div w:id="213197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hyperlink" Target="http://cran.r-project.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http://upload.wikimedia.org/math/6/e/c/6ec612191ec701ea8db49fa3b4913168.png"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3.png"/><Relationship Id="rId10" Type="http://schemas.openxmlformats.org/officeDocument/2006/relationships/hyperlink" Target="mailto:info@metabolon.com"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image" Target="media/image12.em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9275-FC80-4773-BEDE-7B74730F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6914</Words>
  <Characters>39411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mView Final Report</vt:lpstr>
    </vt:vector>
  </TitlesOfParts>
  <Company>Metabolon, Inc.</Company>
  <LinksUpToDate>false</LinksUpToDate>
  <CharactersWithSpaces>46233</CharactersWithSpaces>
  <SharedDoc>false</SharedDoc>
  <HLinks>
    <vt:vector size="18" baseType="variant">
      <vt:variant>
        <vt:i4>5701690</vt:i4>
      </vt:variant>
      <vt:variant>
        <vt:i4>6</vt:i4>
      </vt:variant>
      <vt:variant>
        <vt:i4>0</vt:i4>
      </vt:variant>
      <vt:variant>
        <vt:i4>5</vt:i4>
      </vt:variant>
      <vt:variant>
        <vt:lpwstr>http://upload.wikimedia.org/wikipedia/commons/b/bb/Normal_distribution_and_scales.g</vt:lpwstr>
      </vt:variant>
      <vt:variant>
        <vt:lpwstr/>
      </vt:variant>
      <vt:variant>
        <vt:i4>1245239</vt:i4>
      </vt:variant>
      <vt:variant>
        <vt:i4>0</vt:i4>
      </vt:variant>
      <vt:variant>
        <vt:i4>0</vt:i4>
      </vt:variant>
      <vt:variant>
        <vt:i4>5</vt:i4>
      </vt:variant>
      <vt:variant>
        <vt:lpwstr>mailto:busdev@metabolon.com</vt:lpwstr>
      </vt:variant>
      <vt:variant>
        <vt:lpwstr/>
      </vt:variant>
      <vt:variant>
        <vt:i4>5701690</vt:i4>
      </vt:variant>
      <vt:variant>
        <vt:i4>34953</vt:i4>
      </vt:variant>
      <vt:variant>
        <vt:i4>1032</vt:i4>
      </vt:variant>
      <vt:variant>
        <vt:i4>4</vt:i4>
      </vt:variant>
      <vt:variant>
        <vt:lpwstr>http://upload.wikimedia.org/wikipedia/commons/b/bb/Normal_distribution_and_scales.g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mView Final Report</dc:title>
  <dc:creator>Metabolon</dc:creator>
  <cp:lastModifiedBy>Osgood, Ross S</cp:lastModifiedBy>
  <cp:revision>3</cp:revision>
  <cp:lastPrinted>2010-02-05T16:30:00Z</cp:lastPrinted>
  <dcterms:created xsi:type="dcterms:W3CDTF">2019-02-22T15:47:00Z</dcterms:created>
  <dcterms:modified xsi:type="dcterms:W3CDTF">2019-02-22T15:47:00Z</dcterms:modified>
</cp:coreProperties>
</file>